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400" w:lineRule="exact"/>
        <w:rPr>
          <w:rFonts w:ascii="宋体"/>
          <w:color w:val="auto"/>
          <w:highlight w:val="none"/>
          <w:lang w:eastAsia="zh-CN"/>
        </w:rPr>
      </w:pPr>
    </w:p>
    <w:p>
      <w:pPr>
        <w:keepNext/>
        <w:spacing w:line="400" w:lineRule="exact"/>
        <w:rPr>
          <w:rFonts w:ascii="宋体"/>
          <w:color w:val="auto"/>
          <w:highlight w:val="none"/>
          <w:lang w:eastAsia="zh-CN"/>
        </w:rPr>
      </w:pPr>
    </w:p>
    <w:p>
      <w:pPr>
        <w:keepNext/>
        <w:spacing w:line="400" w:lineRule="exact"/>
        <w:rPr>
          <w:rFonts w:ascii="宋体"/>
          <w:color w:val="auto"/>
          <w:highlight w:val="none"/>
          <w:lang w:eastAsia="zh-CN"/>
        </w:rPr>
      </w:pPr>
    </w:p>
    <w:p>
      <w:pPr>
        <w:keepNext/>
        <w:spacing w:line="400" w:lineRule="exact"/>
        <w:rPr>
          <w:rFonts w:ascii="宋体"/>
          <w:color w:val="auto"/>
          <w:highlight w:val="none"/>
        </w:rPr>
      </w:pPr>
    </w:p>
    <w:p>
      <w:pPr>
        <w:keepNext/>
        <w:spacing w:line="400" w:lineRule="exact"/>
        <w:rPr>
          <w:rFonts w:ascii="宋体"/>
          <w:color w:val="auto"/>
          <w:highlight w:val="none"/>
        </w:rPr>
      </w:pPr>
    </w:p>
    <w:p>
      <w:pPr>
        <w:pStyle w:val="33"/>
        <w:ind w:left="0" w:leftChars="0"/>
        <w:jc w:val="center"/>
        <w:rPr>
          <w:rFonts w:ascii="宋体" w:hAnsi="宋体" w:eastAsia="宋体" w:cs="宋体"/>
          <w:b/>
          <w:bCs/>
          <w:kern w:val="44"/>
          <w:sz w:val="36"/>
          <w:szCs w:val="36"/>
          <w:highlight w:val="none"/>
        </w:rPr>
      </w:pPr>
      <w:r>
        <w:rPr>
          <w:rFonts w:hint="eastAsia" w:ascii="宋体" w:hAnsi="宋体" w:eastAsia="宋体" w:cs="宋体"/>
          <w:b/>
          <w:bCs/>
          <w:kern w:val="44"/>
          <w:sz w:val="36"/>
          <w:szCs w:val="36"/>
          <w:highlight w:val="none"/>
        </w:rPr>
        <w:t>山西省轻工建设有限责任公司</w:t>
      </w:r>
    </w:p>
    <w:p>
      <w:pPr>
        <w:pStyle w:val="33"/>
        <w:ind w:left="0" w:leftChars="0"/>
        <w:jc w:val="center"/>
        <w:rPr>
          <w:rFonts w:ascii="宋体" w:hAnsi="宋体" w:eastAsia="宋体" w:cs="宋体"/>
          <w:b/>
          <w:bCs/>
          <w:kern w:val="44"/>
          <w:sz w:val="36"/>
          <w:szCs w:val="36"/>
          <w:highlight w:val="none"/>
        </w:rPr>
      </w:pPr>
    </w:p>
    <w:p>
      <w:pPr>
        <w:pStyle w:val="33"/>
        <w:ind w:left="0" w:leftChars="0"/>
        <w:jc w:val="center"/>
        <w:rPr>
          <w:rFonts w:ascii="宋体" w:hAnsi="宋体" w:eastAsia="宋体" w:cs="宋体"/>
          <w:b/>
          <w:bCs/>
          <w:kern w:val="44"/>
          <w:sz w:val="36"/>
          <w:szCs w:val="36"/>
          <w:highlight w:val="none"/>
        </w:rPr>
      </w:pPr>
      <w:r>
        <w:rPr>
          <w:rFonts w:hint="eastAsia" w:ascii="宋体" w:hAnsi="宋体" w:eastAsia="宋体" w:cs="宋体"/>
          <w:b/>
          <w:bCs/>
          <w:kern w:val="44"/>
          <w:sz w:val="36"/>
          <w:szCs w:val="36"/>
          <w:highlight w:val="none"/>
        </w:rPr>
        <w:t>液压支架阀组等维修配件采购</w:t>
      </w:r>
    </w:p>
    <w:p>
      <w:pPr>
        <w:pStyle w:val="33"/>
        <w:ind w:left="6000"/>
        <w:rPr>
          <w:rFonts w:ascii="宋体"/>
          <w:b/>
          <w:bCs/>
          <w:kern w:val="44"/>
          <w:sz w:val="36"/>
          <w:szCs w:val="36"/>
          <w:highlight w:val="none"/>
        </w:rPr>
      </w:pPr>
    </w:p>
    <w:p>
      <w:pPr>
        <w:keepNext/>
        <w:snapToGrid w:val="0"/>
        <w:spacing w:line="360" w:lineRule="auto"/>
        <w:jc w:val="center"/>
        <w:rPr>
          <w:rFonts w:ascii="宋体"/>
          <w:b/>
          <w:bCs/>
          <w:color w:val="auto"/>
          <w:sz w:val="84"/>
          <w:szCs w:val="84"/>
          <w:highlight w:val="none"/>
          <w:lang w:eastAsia="zh-CN"/>
        </w:rPr>
      </w:pPr>
      <w:r>
        <w:rPr>
          <w:rFonts w:hint="eastAsia" w:ascii="宋体" w:hAnsi="宋体" w:cs="宋体"/>
          <w:b/>
          <w:bCs/>
          <w:color w:val="auto"/>
          <w:sz w:val="84"/>
          <w:szCs w:val="84"/>
          <w:highlight w:val="none"/>
          <w:lang w:eastAsia="zh-CN"/>
        </w:rPr>
        <w:t>询比采购文件</w:t>
      </w:r>
    </w:p>
    <w:p>
      <w:pPr>
        <w:keepNext/>
        <w:spacing w:line="360" w:lineRule="auto"/>
        <w:jc w:val="center"/>
        <w:rPr>
          <w:rFonts w:ascii="宋体"/>
          <w:b/>
          <w:bCs/>
          <w:color w:val="auto"/>
          <w:sz w:val="32"/>
          <w:szCs w:val="32"/>
          <w:highlight w:val="none"/>
          <w:lang w:eastAsia="zh-CN"/>
        </w:rPr>
      </w:pPr>
    </w:p>
    <w:p>
      <w:pPr>
        <w:keepNext/>
        <w:snapToGrid w:val="0"/>
        <w:spacing w:line="720" w:lineRule="auto"/>
        <w:jc w:val="center"/>
        <w:rPr>
          <w:rFonts w:ascii="宋体"/>
          <w:b/>
          <w:bCs/>
          <w:color w:val="auto"/>
          <w:sz w:val="28"/>
          <w:szCs w:val="28"/>
          <w:highlight w:val="none"/>
          <w:lang w:eastAsia="zh-CN"/>
        </w:rPr>
      </w:pPr>
      <w:r>
        <w:rPr>
          <w:rFonts w:hint="eastAsia" w:ascii="宋体" w:hAnsi="宋体" w:cs="宋体"/>
          <w:b/>
          <w:bCs/>
          <w:color w:val="auto"/>
          <w:sz w:val="28"/>
          <w:szCs w:val="28"/>
          <w:highlight w:val="none"/>
          <w:lang w:eastAsia="zh-CN"/>
        </w:rPr>
        <w:t xml:space="preserve">采购编号：HAZB-FZ-HW-01230349 </w:t>
      </w:r>
    </w:p>
    <w:p>
      <w:pPr>
        <w:keepNext/>
        <w:spacing w:line="400" w:lineRule="exact"/>
        <w:rPr>
          <w:rFonts w:ascii="宋体"/>
          <w:color w:val="auto"/>
          <w:highlight w:val="none"/>
          <w:lang w:eastAsia="zh-CN"/>
        </w:rPr>
      </w:pPr>
    </w:p>
    <w:p>
      <w:pPr>
        <w:keepNext/>
        <w:spacing w:line="400" w:lineRule="exact"/>
        <w:rPr>
          <w:rFonts w:ascii="宋体"/>
          <w:color w:val="auto"/>
          <w:highlight w:val="none"/>
          <w:lang w:eastAsia="zh-CN"/>
        </w:rPr>
      </w:pPr>
    </w:p>
    <w:p>
      <w:pPr>
        <w:keepNext/>
        <w:spacing w:line="400" w:lineRule="exact"/>
        <w:rPr>
          <w:rFonts w:ascii="宋体"/>
          <w:color w:val="auto"/>
          <w:highlight w:val="none"/>
          <w:lang w:eastAsia="zh-CN"/>
        </w:rPr>
      </w:pPr>
    </w:p>
    <w:p>
      <w:pPr>
        <w:keepNext/>
        <w:spacing w:line="400" w:lineRule="exact"/>
        <w:rPr>
          <w:rFonts w:ascii="宋体"/>
          <w:color w:val="auto"/>
          <w:highlight w:val="none"/>
          <w:lang w:eastAsia="zh-CN"/>
        </w:rPr>
      </w:pPr>
    </w:p>
    <w:p>
      <w:pPr>
        <w:keepNext/>
        <w:spacing w:line="400" w:lineRule="exact"/>
        <w:rPr>
          <w:rFonts w:ascii="宋体"/>
          <w:color w:val="auto"/>
          <w:highlight w:val="none"/>
          <w:lang w:eastAsia="zh-CN"/>
        </w:rPr>
      </w:pPr>
    </w:p>
    <w:p>
      <w:pPr>
        <w:keepNext/>
        <w:spacing w:line="400" w:lineRule="exact"/>
        <w:ind w:right="-283" w:rightChars="-118"/>
        <w:rPr>
          <w:rFonts w:ascii="宋体"/>
          <w:color w:val="auto"/>
          <w:highlight w:val="none"/>
          <w:lang w:eastAsia="zh-CN"/>
        </w:rPr>
      </w:pPr>
    </w:p>
    <w:p>
      <w:pPr>
        <w:keepNext/>
        <w:spacing w:line="400" w:lineRule="exact"/>
        <w:rPr>
          <w:rFonts w:ascii="宋体"/>
          <w:color w:val="auto"/>
          <w:highlight w:val="none"/>
          <w:lang w:eastAsia="zh-CN"/>
        </w:rPr>
      </w:pPr>
    </w:p>
    <w:p>
      <w:pPr>
        <w:keepNext/>
        <w:spacing w:line="400" w:lineRule="exact"/>
        <w:rPr>
          <w:rFonts w:ascii="宋体"/>
          <w:color w:val="auto"/>
          <w:highlight w:val="none"/>
          <w:lang w:eastAsia="zh-CN"/>
        </w:rPr>
      </w:pPr>
    </w:p>
    <w:p>
      <w:pPr>
        <w:keepNext/>
        <w:snapToGrid w:val="0"/>
        <w:spacing w:line="500" w:lineRule="exact"/>
        <w:ind w:firstLine="967" w:firstLineChars="344"/>
        <w:rPr>
          <w:rFonts w:ascii="宋体"/>
          <w:b/>
          <w:bCs/>
          <w:color w:val="auto"/>
          <w:sz w:val="28"/>
          <w:szCs w:val="28"/>
          <w:highlight w:val="none"/>
          <w:lang w:eastAsia="zh-CN"/>
        </w:rPr>
      </w:pPr>
      <w:r>
        <w:rPr>
          <w:rFonts w:hint="eastAsia" w:ascii="宋体" w:hAnsi="宋体" w:cs="宋体"/>
          <w:b/>
          <w:bCs/>
          <w:color w:val="auto"/>
          <w:sz w:val="28"/>
          <w:szCs w:val="28"/>
          <w:highlight w:val="none"/>
          <w:lang w:eastAsia="zh-CN"/>
        </w:rPr>
        <w:t>采购人：山西省轻工建设有限责任公司</w:t>
      </w:r>
    </w:p>
    <w:p>
      <w:pPr>
        <w:keepNext/>
        <w:snapToGrid w:val="0"/>
        <w:spacing w:line="500" w:lineRule="exact"/>
        <w:ind w:firstLine="967" w:firstLineChars="344"/>
        <w:rPr>
          <w:rFonts w:ascii="宋体"/>
          <w:b/>
          <w:bCs/>
          <w:color w:val="auto"/>
          <w:sz w:val="28"/>
          <w:szCs w:val="28"/>
          <w:highlight w:val="none"/>
          <w:lang w:eastAsia="zh-CN"/>
        </w:rPr>
      </w:pPr>
      <w:r>
        <w:rPr>
          <w:rFonts w:hint="eastAsia" w:ascii="宋体" w:hAnsi="宋体" w:cs="宋体"/>
          <w:b/>
          <w:bCs/>
          <w:color w:val="auto"/>
          <w:sz w:val="28"/>
          <w:szCs w:val="28"/>
          <w:highlight w:val="none"/>
          <w:lang w:eastAsia="zh-CN"/>
        </w:rPr>
        <w:t>采购代理机构：华安项目管理咨询有限公司</w:t>
      </w:r>
    </w:p>
    <w:p>
      <w:pPr>
        <w:keepNext/>
        <w:snapToGrid w:val="0"/>
        <w:spacing w:line="500" w:lineRule="exact"/>
        <w:ind w:firstLine="967" w:firstLineChars="344"/>
        <w:rPr>
          <w:rFonts w:ascii="宋体"/>
          <w:b/>
          <w:bCs/>
          <w:color w:val="auto"/>
          <w:sz w:val="28"/>
          <w:szCs w:val="28"/>
          <w:highlight w:val="none"/>
          <w:lang w:eastAsia="zh-CN"/>
        </w:rPr>
      </w:pPr>
      <w:r>
        <w:rPr>
          <w:rFonts w:hint="eastAsia" w:ascii="宋体" w:hAnsi="宋体" w:cs="宋体"/>
          <w:b/>
          <w:bCs/>
          <w:color w:val="auto"/>
          <w:sz w:val="28"/>
          <w:szCs w:val="28"/>
          <w:highlight w:val="none"/>
          <w:lang w:eastAsia="zh-CN"/>
        </w:rPr>
        <w:t>日期：二○二三年五月</w:t>
      </w:r>
    </w:p>
    <w:p>
      <w:pPr>
        <w:keepNext/>
        <w:jc w:val="center"/>
        <w:rPr>
          <w:rFonts w:ascii="宋体"/>
          <w:b/>
          <w:bCs/>
          <w:color w:val="auto"/>
          <w:sz w:val="28"/>
          <w:szCs w:val="28"/>
          <w:highlight w:val="none"/>
          <w:lang w:eastAsia="zh-CN"/>
        </w:rPr>
      </w:pPr>
      <w:bookmarkStart w:id="0" w:name="bookmark168"/>
      <w:bookmarkStart w:id="1" w:name="bookmark169"/>
      <w:bookmarkStart w:id="2" w:name="bookmark167"/>
      <w:r>
        <w:rPr>
          <w:rFonts w:ascii="宋体"/>
          <w:b/>
          <w:bCs/>
          <w:color w:val="auto"/>
          <w:sz w:val="28"/>
          <w:szCs w:val="28"/>
          <w:highlight w:val="none"/>
          <w:lang w:eastAsia="zh-CN"/>
        </w:rPr>
        <w:br w:type="page"/>
      </w:r>
    </w:p>
    <w:p>
      <w:pPr>
        <w:keepNext/>
        <w:jc w:val="center"/>
        <w:rPr>
          <w:rFonts w:ascii="宋体"/>
          <w:b/>
          <w:bCs/>
          <w:color w:val="auto"/>
          <w:sz w:val="28"/>
          <w:szCs w:val="28"/>
          <w:highlight w:val="none"/>
          <w:lang w:eastAsia="zh-CN"/>
        </w:rPr>
      </w:pPr>
      <w:r>
        <w:rPr>
          <w:rFonts w:hint="eastAsia" w:ascii="宋体" w:hAnsi="宋体" w:cs="宋体"/>
          <w:b/>
          <w:bCs/>
          <w:color w:val="auto"/>
          <w:sz w:val="28"/>
          <w:szCs w:val="28"/>
          <w:highlight w:val="none"/>
          <w:lang w:eastAsia="zh-CN"/>
        </w:rPr>
        <w:t>目录</w:t>
      </w:r>
    </w:p>
    <w:p>
      <w:pPr>
        <w:keepNext/>
        <w:jc w:val="center"/>
        <w:rPr>
          <w:rFonts w:ascii="宋体"/>
          <w:b/>
          <w:bCs/>
          <w:color w:val="auto"/>
          <w:sz w:val="28"/>
          <w:szCs w:val="28"/>
          <w:highlight w:val="none"/>
          <w:lang w:eastAsia="zh-CN"/>
        </w:rPr>
      </w:pPr>
    </w:p>
    <w:p>
      <w:pPr>
        <w:pStyle w:val="19"/>
        <w:keepNext/>
        <w:tabs>
          <w:tab w:val="right" w:leader="dot" w:pos="9061"/>
        </w:tabs>
        <w:spacing w:line="360" w:lineRule="auto"/>
        <w:rPr>
          <w:rFonts w:ascii="宋体"/>
          <w:color w:val="auto"/>
          <w:kern w:val="2"/>
          <w:sz w:val="21"/>
          <w:szCs w:val="21"/>
          <w:highlight w:val="none"/>
          <w:lang w:eastAsia="zh-CN"/>
        </w:rPr>
      </w:pPr>
      <w:r>
        <w:rPr>
          <w:rFonts w:ascii="宋体" w:hAnsi="宋体" w:cs="宋体"/>
          <w:color w:val="auto"/>
          <w:highlight w:val="none"/>
        </w:rPr>
        <w:fldChar w:fldCharType="begin"/>
      </w:r>
      <w:r>
        <w:rPr>
          <w:rFonts w:ascii="宋体" w:hAnsi="宋体" w:cs="宋体"/>
          <w:color w:val="auto"/>
          <w:highlight w:val="none"/>
        </w:rPr>
        <w:instrText xml:space="preserve">TOC \o "1-3" \h \u </w:instrText>
      </w:r>
      <w:r>
        <w:rPr>
          <w:rFonts w:ascii="宋体" w:hAnsi="宋体" w:cs="宋体"/>
          <w:color w:val="auto"/>
          <w:highlight w:val="none"/>
        </w:rPr>
        <w:fldChar w:fldCharType="separate"/>
      </w:r>
      <w:r>
        <w:rPr>
          <w:highlight w:val="none"/>
        </w:rPr>
        <w:fldChar w:fldCharType="begin"/>
      </w:r>
      <w:r>
        <w:rPr>
          <w:highlight w:val="none"/>
        </w:rPr>
        <w:instrText xml:space="preserve"> HYPERLINK \l "_Toc79479567" </w:instrText>
      </w:r>
      <w:r>
        <w:rPr>
          <w:highlight w:val="none"/>
        </w:rPr>
        <w:fldChar w:fldCharType="separate"/>
      </w:r>
      <w:r>
        <w:rPr>
          <w:rStyle w:val="32"/>
          <w:rFonts w:hint="eastAsia" w:ascii="宋体" w:hAnsi="宋体" w:cs="宋体"/>
          <w:color w:val="auto"/>
          <w:highlight w:val="none"/>
          <w:lang w:eastAsia="zh-CN"/>
        </w:rPr>
        <w:t>第一章询比采购公告</w:t>
      </w:r>
      <w:r>
        <w:rPr>
          <w:rFonts w:ascii="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_Toc79479567 \h </w:instrText>
      </w:r>
      <w:r>
        <w:rPr>
          <w:rFonts w:ascii="宋体" w:hAnsi="宋体" w:cs="宋体"/>
          <w:color w:val="auto"/>
          <w:highlight w:val="none"/>
        </w:rPr>
        <w:fldChar w:fldCharType="separate"/>
      </w:r>
      <w:r>
        <w:rPr>
          <w:rFonts w:ascii="宋体" w:hAnsi="宋体" w:cs="宋体"/>
          <w:color w:val="auto"/>
          <w:highlight w:val="none"/>
        </w:rPr>
        <w:t>3</w:t>
      </w:r>
      <w:r>
        <w:rPr>
          <w:rFonts w:ascii="宋体" w:hAnsi="宋体" w:cs="宋体"/>
          <w:color w:val="auto"/>
          <w:highlight w:val="none"/>
        </w:rPr>
        <w:fldChar w:fldCharType="end"/>
      </w:r>
      <w:r>
        <w:rPr>
          <w:rFonts w:ascii="宋体" w:hAnsi="宋体" w:cs="宋体"/>
          <w:color w:val="auto"/>
          <w:highlight w:val="none"/>
        </w:rPr>
        <w:fldChar w:fldCharType="end"/>
      </w:r>
    </w:p>
    <w:p>
      <w:pPr>
        <w:pStyle w:val="19"/>
        <w:keepNext/>
        <w:tabs>
          <w:tab w:val="right" w:leader="dot" w:pos="9061"/>
        </w:tabs>
        <w:spacing w:line="360" w:lineRule="auto"/>
        <w:rPr>
          <w:rFonts w:ascii="宋体"/>
          <w:color w:val="auto"/>
          <w:kern w:val="2"/>
          <w:sz w:val="21"/>
          <w:szCs w:val="21"/>
          <w:highlight w:val="none"/>
          <w:lang w:eastAsia="zh-CN"/>
        </w:rPr>
      </w:pPr>
      <w:r>
        <w:rPr>
          <w:highlight w:val="none"/>
        </w:rPr>
        <w:fldChar w:fldCharType="begin"/>
      </w:r>
      <w:r>
        <w:rPr>
          <w:highlight w:val="none"/>
        </w:rPr>
        <w:instrText xml:space="preserve"> HYPERLINK \l "_Toc79479578" </w:instrText>
      </w:r>
      <w:r>
        <w:rPr>
          <w:highlight w:val="none"/>
        </w:rPr>
        <w:fldChar w:fldCharType="separate"/>
      </w:r>
      <w:r>
        <w:rPr>
          <w:rStyle w:val="32"/>
          <w:rFonts w:hint="eastAsia" w:ascii="宋体" w:hAnsi="宋体" w:cs="宋体"/>
          <w:color w:val="auto"/>
          <w:highlight w:val="none"/>
          <w:lang w:eastAsia="zh-CN"/>
        </w:rPr>
        <w:t>第二章供应商须知</w:t>
      </w:r>
      <w:r>
        <w:rPr>
          <w:rFonts w:ascii="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_Toc79479578 \h </w:instrText>
      </w:r>
      <w:r>
        <w:rPr>
          <w:rFonts w:ascii="宋体" w:hAnsi="宋体" w:cs="宋体"/>
          <w:color w:val="auto"/>
          <w:highlight w:val="none"/>
        </w:rPr>
        <w:fldChar w:fldCharType="separate"/>
      </w:r>
      <w:r>
        <w:rPr>
          <w:rFonts w:ascii="宋体" w:hAnsi="宋体" w:cs="宋体"/>
          <w:color w:val="auto"/>
          <w:highlight w:val="none"/>
        </w:rPr>
        <w:t>6</w:t>
      </w:r>
      <w:r>
        <w:rPr>
          <w:rFonts w:ascii="宋体" w:hAnsi="宋体" w:cs="宋体"/>
          <w:color w:val="auto"/>
          <w:highlight w:val="none"/>
        </w:rPr>
        <w:fldChar w:fldCharType="end"/>
      </w:r>
      <w:r>
        <w:rPr>
          <w:rFonts w:ascii="宋体" w:hAnsi="宋体" w:cs="宋体"/>
          <w:color w:val="auto"/>
          <w:highlight w:val="none"/>
        </w:rPr>
        <w:fldChar w:fldCharType="end"/>
      </w:r>
    </w:p>
    <w:p>
      <w:pPr>
        <w:pStyle w:val="19"/>
        <w:keepNext/>
        <w:tabs>
          <w:tab w:val="right" w:leader="dot" w:pos="9061"/>
        </w:tabs>
        <w:spacing w:line="360" w:lineRule="auto"/>
        <w:rPr>
          <w:rFonts w:ascii="宋体"/>
          <w:color w:val="auto"/>
          <w:kern w:val="2"/>
          <w:sz w:val="21"/>
          <w:szCs w:val="21"/>
          <w:highlight w:val="none"/>
          <w:lang w:eastAsia="zh-CN"/>
        </w:rPr>
      </w:pPr>
      <w:r>
        <w:rPr>
          <w:highlight w:val="none"/>
        </w:rPr>
        <w:fldChar w:fldCharType="begin"/>
      </w:r>
      <w:r>
        <w:rPr>
          <w:highlight w:val="none"/>
        </w:rPr>
        <w:instrText xml:space="preserve"> HYPERLINK \l "_Toc79479632" </w:instrText>
      </w:r>
      <w:r>
        <w:rPr>
          <w:highlight w:val="none"/>
        </w:rPr>
        <w:fldChar w:fldCharType="separate"/>
      </w:r>
      <w:r>
        <w:rPr>
          <w:rStyle w:val="32"/>
          <w:rFonts w:hint="eastAsia" w:ascii="宋体" w:hAnsi="宋体" w:cs="宋体"/>
          <w:color w:val="auto"/>
          <w:highlight w:val="none"/>
          <w:lang w:eastAsia="zh-CN"/>
        </w:rPr>
        <w:t>第三章评审办法</w:t>
      </w:r>
      <w:r>
        <w:rPr>
          <w:rFonts w:ascii="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_Toc79479632 \h </w:instrText>
      </w:r>
      <w:r>
        <w:rPr>
          <w:rFonts w:ascii="宋体" w:hAnsi="宋体" w:cs="宋体"/>
          <w:color w:val="auto"/>
          <w:highlight w:val="none"/>
        </w:rPr>
        <w:fldChar w:fldCharType="separate"/>
      </w:r>
      <w:r>
        <w:rPr>
          <w:rFonts w:ascii="宋体" w:hAnsi="宋体" w:cs="宋体"/>
          <w:color w:val="auto"/>
          <w:highlight w:val="none"/>
        </w:rPr>
        <w:t>17</w:t>
      </w:r>
      <w:r>
        <w:rPr>
          <w:rFonts w:ascii="宋体" w:hAnsi="宋体" w:cs="宋体"/>
          <w:color w:val="auto"/>
          <w:highlight w:val="none"/>
        </w:rPr>
        <w:fldChar w:fldCharType="end"/>
      </w:r>
      <w:r>
        <w:rPr>
          <w:rFonts w:ascii="宋体" w:hAnsi="宋体" w:cs="宋体"/>
          <w:color w:val="auto"/>
          <w:highlight w:val="none"/>
        </w:rPr>
        <w:fldChar w:fldCharType="end"/>
      </w:r>
    </w:p>
    <w:p>
      <w:pPr>
        <w:pStyle w:val="19"/>
        <w:keepNext/>
        <w:tabs>
          <w:tab w:val="right" w:leader="dot" w:pos="9061"/>
        </w:tabs>
        <w:spacing w:line="360" w:lineRule="auto"/>
        <w:rPr>
          <w:rFonts w:ascii="宋体"/>
          <w:color w:val="auto"/>
          <w:kern w:val="2"/>
          <w:sz w:val="21"/>
          <w:szCs w:val="21"/>
          <w:highlight w:val="none"/>
          <w:lang w:eastAsia="zh-CN"/>
        </w:rPr>
      </w:pPr>
      <w:r>
        <w:rPr>
          <w:highlight w:val="none"/>
        </w:rPr>
        <w:fldChar w:fldCharType="begin"/>
      </w:r>
      <w:r>
        <w:rPr>
          <w:highlight w:val="none"/>
        </w:rPr>
        <w:instrText xml:space="preserve"> HYPERLINK \l "_Toc79479652" </w:instrText>
      </w:r>
      <w:r>
        <w:rPr>
          <w:highlight w:val="none"/>
        </w:rPr>
        <w:fldChar w:fldCharType="separate"/>
      </w:r>
      <w:r>
        <w:rPr>
          <w:rStyle w:val="32"/>
          <w:rFonts w:hint="eastAsia" w:ascii="宋体" w:hAnsi="宋体" w:cs="宋体"/>
          <w:color w:val="auto"/>
          <w:highlight w:val="none"/>
          <w:lang w:eastAsia="zh-CN"/>
        </w:rPr>
        <w:t>第四章合同条款及格式</w:t>
      </w:r>
      <w:r>
        <w:rPr>
          <w:rFonts w:ascii="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_Toc79479652 \h </w:instrText>
      </w:r>
      <w:r>
        <w:rPr>
          <w:rFonts w:ascii="宋体" w:hAnsi="宋体" w:cs="宋体"/>
          <w:color w:val="auto"/>
          <w:highlight w:val="none"/>
        </w:rPr>
        <w:fldChar w:fldCharType="separate"/>
      </w:r>
      <w:r>
        <w:rPr>
          <w:rFonts w:ascii="宋体" w:hAnsi="宋体" w:cs="宋体"/>
          <w:color w:val="auto"/>
          <w:highlight w:val="none"/>
        </w:rPr>
        <w:t>24</w:t>
      </w:r>
      <w:r>
        <w:rPr>
          <w:rFonts w:ascii="宋体" w:hAnsi="宋体" w:cs="宋体"/>
          <w:color w:val="auto"/>
          <w:highlight w:val="none"/>
        </w:rPr>
        <w:fldChar w:fldCharType="end"/>
      </w:r>
      <w:r>
        <w:rPr>
          <w:rFonts w:ascii="宋体" w:hAnsi="宋体" w:cs="宋体"/>
          <w:color w:val="auto"/>
          <w:highlight w:val="none"/>
        </w:rPr>
        <w:fldChar w:fldCharType="end"/>
      </w:r>
    </w:p>
    <w:p>
      <w:pPr>
        <w:pStyle w:val="19"/>
        <w:keepNext/>
        <w:tabs>
          <w:tab w:val="right" w:leader="dot" w:pos="9061"/>
        </w:tabs>
        <w:spacing w:line="360" w:lineRule="auto"/>
        <w:rPr>
          <w:rFonts w:ascii="宋体"/>
          <w:color w:val="auto"/>
          <w:kern w:val="2"/>
          <w:sz w:val="21"/>
          <w:szCs w:val="21"/>
          <w:highlight w:val="none"/>
          <w:lang w:eastAsia="zh-CN"/>
        </w:rPr>
      </w:pPr>
      <w:r>
        <w:rPr>
          <w:highlight w:val="none"/>
        </w:rPr>
        <w:fldChar w:fldCharType="begin"/>
      </w:r>
      <w:r>
        <w:rPr>
          <w:highlight w:val="none"/>
        </w:rPr>
        <w:instrText xml:space="preserve"> HYPERLINK \l "_Toc79479656" </w:instrText>
      </w:r>
      <w:r>
        <w:rPr>
          <w:highlight w:val="none"/>
        </w:rPr>
        <w:fldChar w:fldCharType="separate"/>
      </w:r>
      <w:r>
        <w:rPr>
          <w:rStyle w:val="32"/>
          <w:rFonts w:hint="eastAsia" w:ascii="宋体" w:hAnsi="宋体" w:cs="宋体"/>
          <w:color w:val="auto"/>
          <w:highlight w:val="none"/>
          <w:lang w:eastAsia="zh-CN"/>
        </w:rPr>
        <w:t>第五章采购需求</w:t>
      </w:r>
      <w:r>
        <w:rPr>
          <w:rFonts w:ascii="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_Toc79479656 \h </w:instrText>
      </w:r>
      <w:r>
        <w:rPr>
          <w:rFonts w:ascii="宋体" w:hAnsi="宋体" w:cs="宋体"/>
          <w:color w:val="auto"/>
          <w:highlight w:val="none"/>
        </w:rPr>
        <w:fldChar w:fldCharType="separate"/>
      </w:r>
      <w:r>
        <w:rPr>
          <w:rFonts w:ascii="宋体" w:hAnsi="宋体" w:cs="宋体"/>
          <w:color w:val="auto"/>
          <w:highlight w:val="none"/>
        </w:rPr>
        <w:t>27</w:t>
      </w:r>
      <w:r>
        <w:rPr>
          <w:rFonts w:ascii="宋体" w:hAnsi="宋体" w:cs="宋体"/>
          <w:color w:val="auto"/>
          <w:highlight w:val="none"/>
        </w:rPr>
        <w:fldChar w:fldCharType="end"/>
      </w:r>
      <w:r>
        <w:rPr>
          <w:rFonts w:ascii="宋体" w:hAnsi="宋体" w:cs="宋体"/>
          <w:color w:val="auto"/>
          <w:highlight w:val="none"/>
        </w:rPr>
        <w:fldChar w:fldCharType="end"/>
      </w:r>
    </w:p>
    <w:p>
      <w:pPr>
        <w:pStyle w:val="19"/>
        <w:keepNext/>
        <w:tabs>
          <w:tab w:val="right" w:leader="dot" w:pos="9061"/>
        </w:tabs>
        <w:spacing w:line="360" w:lineRule="auto"/>
        <w:rPr>
          <w:rFonts w:ascii="宋体"/>
          <w:color w:val="auto"/>
          <w:kern w:val="2"/>
          <w:sz w:val="21"/>
          <w:szCs w:val="21"/>
          <w:highlight w:val="none"/>
          <w:lang w:eastAsia="zh-CN"/>
        </w:rPr>
      </w:pPr>
      <w:r>
        <w:rPr>
          <w:highlight w:val="none"/>
        </w:rPr>
        <w:fldChar w:fldCharType="begin"/>
      </w:r>
      <w:r>
        <w:rPr>
          <w:highlight w:val="none"/>
        </w:rPr>
        <w:instrText xml:space="preserve"> HYPERLINK \l "_Toc79479657" </w:instrText>
      </w:r>
      <w:r>
        <w:rPr>
          <w:highlight w:val="none"/>
        </w:rPr>
        <w:fldChar w:fldCharType="separate"/>
      </w:r>
      <w:r>
        <w:rPr>
          <w:rStyle w:val="32"/>
          <w:rFonts w:hint="eastAsia" w:ascii="宋体" w:hAnsi="宋体" w:cs="宋体"/>
          <w:color w:val="auto"/>
          <w:highlight w:val="none"/>
          <w:lang w:eastAsia="zh-CN"/>
        </w:rPr>
        <w:t>第六章响应文件格式</w:t>
      </w:r>
      <w:r>
        <w:rPr>
          <w:rFonts w:ascii="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_Toc79479657 \h </w:instrText>
      </w:r>
      <w:r>
        <w:rPr>
          <w:rFonts w:ascii="宋体" w:hAnsi="宋体" w:cs="宋体"/>
          <w:color w:val="auto"/>
          <w:highlight w:val="none"/>
        </w:rPr>
        <w:fldChar w:fldCharType="separate"/>
      </w:r>
      <w:r>
        <w:rPr>
          <w:rFonts w:ascii="宋体" w:hAnsi="宋体" w:cs="宋体"/>
          <w:color w:val="auto"/>
          <w:highlight w:val="none"/>
        </w:rPr>
        <w:t>28</w:t>
      </w:r>
      <w:r>
        <w:rPr>
          <w:rFonts w:ascii="宋体" w:hAnsi="宋体" w:cs="宋体"/>
          <w:color w:val="auto"/>
          <w:highlight w:val="none"/>
        </w:rPr>
        <w:fldChar w:fldCharType="end"/>
      </w:r>
      <w:r>
        <w:rPr>
          <w:rFonts w:ascii="宋体" w:hAnsi="宋体" w:cs="宋体"/>
          <w:color w:val="auto"/>
          <w:highlight w:val="none"/>
        </w:rPr>
        <w:fldChar w:fldCharType="end"/>
      </w: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r>
        <w:rPr>
          <w:color w:val="auto"/>
          <w:highlight w:val="none"/>
        </w:rPr>
        <w:fldChar w:fldCharType="end"/>
      </w: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3"/>
        <w:keepLines w:val="0"/>
        <w:jc w:val="center"/>
        <w:rPr>
          <w:rFonts w:ascii="宋体"/>
          <w:color w:val="auto"/>
          <w:sz w:val="52"/>
          <w:szCs w:val="52"/>
          <w:highlight w:val="none"/>
          <w:lang w:eastAsia="zh-CN"/>
        </w:rPr>
      </w:pPr>
      <w:bookmarkStart w:id="3" w:name="_Toc79479567"/>
      <w:r>
        <w:rPr>
          <w:rFonts w:ascii="宋体"/>
          <w:color w:val="auto"/>
          <w:sz w:val="52"/>
          <w:szCs w:val="52"/>
          <w:highlight w:val="none"/>
          <w:lang w:eastAsia="zh-CN"/>
        </w:rPr>
        <w:br w:type="page"/>
      </w:r>
    </w:p>
    <w:p>
      <w:pPr>
        <w:pStyle w:val="3"/>
        <w:keepLines w:val="0"/>
        <w:jc w:val="center"/>
        <w:rPr>
          <w:rFonts w:ascii="宋体"/>
          <w:color w:val="auto"/>
          <w:sz w:val="52"/>
          <w:szCs w:val="52"/>
          <w:highlight w:val="none"/>
          <w:lang w:eastAsia="zh-CN"/>
        </w:rPr>
      </w:pPr>
    </w:p>
    <w:p>
      <w:pPr>
        <w:pStyle w:val="3"/>
        <w:keepLines w:val="0"/>
        <w:jc w:val="center"/>
        <w:rPr>
          <w:rFonts w:ascii="宋体"/>
          <w:color w:val="auto"/>
          <w:sz w:val="52"/>
          <w:szCs w:val="52"/>
          <w:highlight w:val="none"/>
          <w:lang w:eastAsia="zh-CN"/>
        </w:rPr>
      </w:pPr>
      <w:r>
        <w:rPr>
          <w:rFonts w:hint="eastAsia" w:ascii="宋体" w:hAnsi="宋体" w:cs="宋体"/>
          <w:color w:val="auto"/>
          <w:sz w:val="52"/>
          <w:szCs w:val="52"/>
          <w:highlight w:val="none"/>
          <w:lang w:eastAsia="zh-CN"/>
        </w:rPr>
        <w:t>第一章询比采购公告</w:t>
      </w:r>
      <w:bookmarkEnd w:id="3"/>
    </w:p>
    <w:p>
      <w:pPr>
        <w:pStyle w:val="46"/>
        <w:keepNext/>
        <w:tabs>
          <w:tab w:val="left" w:pos="950"/>
          <w:tab w:val="left" w:pos="2150"/>
          <w:tab w:val="left" w:pos="3350"/>
        </w:tabs>
        <w:spacing w:line="360" w:lineRule="auto"/>
        <w:ind w:firstLine="0"/>
        <w:rPr>
          <w:rFonts w:cs="Times New Roman"/>
          <w:color w:val="auto"/>
          <w:sz w:val="24"/>
          <w:szCs w:val="24"/>
          <w:highlight w:val="none"/>
          <w:lang w:val="en-US" w:eastAsia="zh-CN"/>
        </w:rPr>
      </w:pPr>
    </w:p>
    <w:p>
      <w:pPr>
        <w:keepNext/>
        <w:spacing w:line="360" w:lineRule="auto"/>
        <w:jc w:val="center"/>
        <w:outlineLvl w:val="1"/>
        <w:rPr>
          <w:rFonts w:ascii="宋体"/>
          <w:b/>
          <w:bCs/>
          <w:color w:val="auto"/>
          <w:sz w:val="28"/>
          <w:szCs w:val="28"/>
          <w:highlight w:val="none"/>
          <w:lang w:eastAsia="zh-CN"/>
        </w:rPr>
      </w:pPr>
      <w:bookmarkStart w:id="4" w:name="_Toc79479568"/>
      <w:bookmarkStart w:id="5" w:name="_Toc14492"/>
      <w:bookmarkStart w:id="6" w:name="_Toc14848"/>
      <w:r>
        <w:rPr>
          <w:rFonts w:ascii="宋体"/>
          <w:b/>
          <w:bCs/>
          <w:color w:val="auto"/>
          <w:sz w:val="28"/>
          <w:szCs w:val="28"/>
          <w:highlight w:val="none"/>
          <w:lang w:eastAsia="zh-CN"/>
        </w:rPr>
        <w:br w:type="page"/>
      </w:r>
      <w:bookmarkEnd w:id="4"/>
      <w:bookmarkStart w:id="7" w:name="_Toc79479569"/>
      <w:r>
        <w:rPr>
          <w:rFonts w:hint="eastAsia" w:ascii="宋体"/>
          <w:b/>
          <w:bCs/>
          <w:color w:val="auto"/>
          <w:sz w:val="28"/>
          <w:szCs w:val="28"/>
          <w:highlight w:val="none"/>
          <w:lang w:eastAsia="zh-CN"/>
        </w:rPr>
        <w:t>山西省轻工建设有限责任公司液压支架阀组等维修配件采购</w:t>
      </w:r>
    </w:p>
    <w:p>
      <w:pPr>
        <w:keepNext/>
        <w:spacing w:line="360" w:lineRule="auto"/>
        <w:jc w:val="center"/>
        <w:outlineLvl w:val="1"/>
        <w:rPr>
          <w:rFonts w:ascii="宋体"/>
          <w:b/>
          <w:bCs/>
          <w:color w:val="auto"/>
          <w:sz w:val="28"/>
          <w:szCs w:val="28"/>
          <w:highlight w:val="none"/>
          <w:lang w:eastAsia="zh-CN"/>
        </w:rPr>
      </w:pPr>
      <w:r>
        <w:rPr>
          <w:rFonts w:hint="eastAsia" w:ascii="宋体" w:hAnsi="宋体" w:cs="宋体"/>
          <w:b/>
          <w:bCs/>
          <w:color w:val="auto"/>
          <w:sz w:val="28"/>
          <w:szCs w:val="28"/>
          <w:highlight w:val="none"/>
          <w:lang w:eastAsia="zh-CN"/>
        </w:rPr>
        <w:t>询比采购公告</w:t>
      </w:r>
      <w:bookmarkEnd w:id="0"/>
      <w:bookmarkEnd w:id="1"/>
      <w:bookmarkEnd w:id="2"/>
      <w:bookmarkEnd w:id="5"/>
      <w:bookmarkEnd w:id="6"/>
      <w:bookmarkEnd w:id="7"/>
    </w:p>
    <w:p>
      <w:pPr>
        <w:pStyle w:val="46"/>
        <w:keepNext/>
        <w:spacing w:line="360" w:lineRule="auto"/>
        <w:rPr>
          <w:color w:val="auto"/>
          <w:sz w:val="21"/>
          <w:szCs w:val="21"/>
          <w:highlight w:val="none"/>
          <w:lang w:val="en-US" w:eastAsia="zh-CN"/>
        </w:rPr>
      </w:pPr>
      <w:r>
        <w:rPr>
          <w:rFonts w:hint="eastAsia"/>
          <w:color w:val="auto"/>
          <w:sz w:val="21"/>
          <w:szCs w:val="21"/>
          <w:highlight w:val="none"/>
          <w:lang w:val="en-US" w:eastAsia="zh-CN"/>
        </w:rPr>
        <w:t>本采购项目山西省轻工建设有限责任公司液压支架阀组等维修配件采购，业主为山西省轻工建设有限责任公司，资金来源为企业自筹，项目已具备采购条件，现对该项目进行询比采购。</w:t>
      </w:r>
    </w:p>
    <w:p>
      <w:pPr>
        <w:pStyle w:val="4"/>
        <w:keepLines w:val="0"/>
        <w:spacing w:before="0" w:after="0" w:line="360" w:lineRule="auto"/>
        <w:rPr>
          <w:rFonts w:ascii="宋体"/>
          <w:color w:val="auto"/>
          <w:kern w:val="44"/>
          <w:sz w:val="21"/>
          <w:szCs w:val="21"/>
          <w:highlight w:val="none"/>
          <w:lang w:eastAsia="zh-CN"/>
        </w:rPr>
      </w:pPr>
      <w:bookmarkStart w:id="8" w:name="_Toc79479570"/>
      <w:bookmarkStart w:id="9" w:name="_Toc25633"/>
      <w:bookmarkStart w:id="10" w:name="_Toc23380"/>
      <w:r>
        <w:rPr>
          <w:rFonts w:hint="eastAsia" w:ascii="宋体" w:hAnsi="宋体" w:cs="宋体"/>
          <w:color w:val="auto"/>
          <w:kern w:val="44"/>
          <w:sz w:val="21"/>
          <w:szCs w:val="21"/>
          <w:highlight w:val="none"/>
          <w:lang w:eastAsia="zh-CN"/>
        </w:rPr>
        <w:t>一、采购项目简介</w:t>
      </w:r>
      <w:bookmarkEnd w:id="8"/>
      <w:bookmarkEnd w:id="9"/>
      <w:bookmarkEnd w:id="10"/>
    </w:p>
    <w:p>
      <w:pPr>
        <w:pStyle w:val="46"/>
        <w:keepNext/>
        <w:spacing w:line="360" w:lineRule="auto"/>
        <w:rPr>
          <w:color w:val="auto"/>
          <w:sz w:val="21"/>
          <w:szCs w:val="21"/>
          <w:highlight w:val="none"/>
          <w:lang w:val="en-US" w:eastAsia="zh-CN"/>
        </w:rPr>
      </w:pPr>
      <w:bookmarkStart w:id="11" w:name="bookmark170"/>
      <w:bookmarkEnd w:id="11"/>
      <w:r>
        <w:rPr>
          <w:color w:val="auto"/>
          <w:sz w:val="21"/>
          <w:szCs w:val="21"/>
          <w:highlight w:val="none"/>
          <w:lang w:val="en-US" w:eastAsia="zh-CN"/>
        </w:rPr>
        <w:t xml:space="preserve">1.1 </w:t>
      </w:r>
      <w:r>
        <w:rPr>
          <w:rFonts w:hint="eastAsia"/>
          <w:color w:val="auto"/>
          <w:sz w:val="21"/>
          <w:szCs w:val="21"/>
          <w:highlight w:val="none"/>
          <w:lang w:val="en-US" w:eastAsia="zh-CN"/>
        </w:rPr>
        <w:t>采购项目名称：山西省轻工建设有限责任公司液压支架阀组等维修配件采购；</w:t>
      </w:r>
    </w:p>
    <w:p>
      <w:pPr>
        <w:pStyle w:val="46"/>
        <w:keepNext/>
        <w:spacing w:line="360" w:lineRule="auto"/>
        <w:rPr>
          <w:color w:val="auto"/>
          <w:sz w:val="21"/>
          <w:szCs w:val="21"/>
          <w:highlight w:val="none"/>
          <w:lang w:val="en-US" w:eastAsia="zh-CN"/>
        </w:rPr>
      </w:pPr>
      <w:bookmarkStart w:id="12" w:name="bookmark171"/>
      <w:bookmarkEnd w:id="12"/>
      <w:r>
        <w:rPr>
          <w:color w:val="auto"/>
          <w:sz w:val="21"/>
          <w:szCs w:val="21"/>
          <w:highlight w:val="none"/>
          <w:lang w:val="en-US" w:eastAsia="zh-CN"/>
        </w:rPr>
        <w:t xml:space="preserve">1.2 </w:t>
      </w:r>
      <w:r>
        <w:rPr>
          <w:rFonts w:hint="eastAsia"/>
          <w:color w:val="auto"/>
          <w:sz w:val="21"/>
          <w:szCs w:val="21"/>
          <w:highlight w:val="none"/>
          <w:lang w:val="en-US" w:eastAsia="zh-CN"/>
        </w:rPr>
        <w:t>采购人：山西省轻工建设有限责任公司；</w:t>
      </w:r>
    </w:p>
    <w:p>
      <w:pPr>
        <w:pStyle w:val="46"/>
        <w:keepNext/>
        <w:spacing w:line="360" w:lineRule="auto"/>
        <w:rPr>
          <w:color w:val="auto"/>
          <w:sz w:val="21"/>
          <w:szCs w:val="21"/>
          <w:highlight w:val="none"/>
          <w:lang w:val="en-US" w:eastAsia="zh-CN"/>
        </w:rPr>
      </w:pPr>
      <w:r>
        <w:rPr>
          <w:rFonts w:hint="eastAsia"/>
          <w:color w:val="auto"/>
          <w:sz w:val="21"/>
          <w:szCs w:val="21"/>
          <w:highlight w:val="none"/>
          <w:lang w:val="en-US" w:eastAsia="zh-CN"/>
        </w:rPr>
        <w:t>1.3采购代理机构：</w:t>
      </w:r>
      <w:r>
        <w:rPr>
          <w:rFonts w:hint="eastAsia"/>
          <w:snapToGrid w:val="0"/>
          <w:color w:val="auto"/>
          <w:sz w:val="21"/>
          <w:szCs w:val="21"/>
          <w:highlight w:val="none"/>
          <w:lang w:eastAsia="zh-CN"/>
        </w:rPr>
        <w:t>华安项目管理咨询有限公司</w:t>
      </w:r>
      <w:r>
        <w:rPr>
          <w:rFonts w:hint="eastAsia"/>
          <w:color w:val="auto"/>
          <w:sz w:val="21"/>
          <w:szCs w:val="21"/>
          <w:highlight w:val="none"/>
          <w:lang w:val="en-US" w:eastAsia="zh-CN"/>
        </w:rPr>
        <w:t>。</w:t>
      </w:r>
    </w:p>
    <w:p>
      <w:pPr>
        <w:pStyle w:val="46"/>
        <w:keepNext/>
        <w:spacing w:line="360" w:lineRule="auto"/>
        <w:rPr>
          <w:color w:val="auto"/>
          <w:sz w:val="21"/>
          <w:szCs w:val="21"/>
          <w:highlight w:val="none"/>
          <w:lang w:val="en-US" w:eastAsia="zh-CN"/>
        </w:rPr>
      </w:pPr>
      <w:r>
        <w:rPr>
          <w:rFonts w:hint="eastAsia"/>
          <w:color w:val="auto"/>
          <w:sz w:val="21"/>
          <w:szCs w:val="21"/>
          <w:highlight w:val="none"/>
          <w:lang w:val="en-US" w:eastAsia="zh-CN"/>
        </w:rPr>
        <w:t>1.4采购项目资金落实情况；已落实。</w:t>
      </w:r>
    </w:p>
    <w:p>
      <w:pPr>
        <w:pStyle w:val="46"/>
        <w:keepNext/>
        <w:spacing w:line="360" w:lineRule="auto"/>
        <w:rPr>
          <w:color w:val="auto"/>
          <w:sz w:val="21"/>
          <w:szCs w:val="21"/>
          <w:highlight w:val="none"/>
          <w:lang w:val="en-US" w:eastAsia="zh-CN"/>
        </w:rPr>
      </w:pPr>
      <w:r>
        <w:rPr>
          <w:color w:val="auto"/>
          <w:sz w:val="21"/>
          <w:szCs w:val="21"/>
          <w:highlight w:val="none"/>
          <w:lang w:val="en-US" w:eastAsia="zh-CN"/>
        </w:rPr>
        <w:t xml:space="preserve">1.3 </w:t>
      </w:r>
      <w:r>
        <w:rPr>
          <w:rFonts w:hint="eastAsia"/>
          <w:color w:val="auto"/>
          <w:sz w:val="21"/>
          <w:szCs w:val="21"/>
          <w:highlight w:val="none"/>
          <w:lang w:val="en-US" w:eastAsia="zh-CN"/>
        </w:rPr>
        <w:t>采购项目</w:t>
      </w:r>
      <w:bookmarkStart w:id="573" w:name="_GoBack"/>
      <w:bookmarkEnd w:id="573"/>
      <w:r>
        <w:rPr>
          <w:rFonts w:hint="eastAsia"/>
          <w:color w:val="auto"/>
          <w:sz w:val="21"/>
          <w:szCs w:val="21"/>
          <w:highlight w:val="none"/>
          <w:lang w:val="en-US" w:eastAsia="zh-CN"/>
        </w:rPr>
        <w:t>概况：</w:t>
      </w:r>
      <w:r>
        <w:rPr>
          <w:rFonts w:hint="eastAsia"/>
          <w:color w:val="auto"/>
          <w:sz w:val="21"/>
          <w:szCs w:val="21"/>
          <w:highlight w:val="none"/>
          <w:lang w:val="en-US" w:eastAsia="zh-CN"/>
        </w:rPr>
        <w:t>液压支架阀组等维修配件采购</w:t>
      </w:r>
      <w:r>
        <w:rPr>
          <w:rFonts w:hint="eastAsia"/>
          <w:color w:val="auto"/>
          <w:sz w:val="21"/>
          <w:szCs w:val="21"/>
          <w:highlight w:val="none"/>
          <w:lang w:val="en-US" w:eastAsia="zh-CN"/>
        </w:rPr>
        <w:t>，详见采购文件。</w:t>
      </w:r>
    </w:p>
    <w:p>
      <w:pPr>
        <w:pStyle w:val="46"/>
        <w:keepNext/>
        <w:spacing w:line="360" w:lineRule="auto"/>
        <w:rPr>
          <w:color w:val="auto"/>
          <w:sz w:val="21"/>
          <w:szCs w:val="21"/>
          <w:highlight w:val="none"/>
          <w:lang w:val="en-US" w:eastAsia="zh-CN"/>
        </w:rPr>
      </w:pPr>
      <w:r>
        <w:rPr>
          <w:rFonts w:hint="eastAsia"/>
          <w:color w:val="auto"/>
          <w:sz w:val="21"/>
          <w:szCs w:val="21"/>
          <w:highlight w:val="none"/>
          <w:lang w:val="en-US" w:eastAsia="zh-CN"/>
        </w:rPr>
        <w:t>1.6成交供应商数量及成交份额：一家，100%。</w:t>
      </w:r>
    </w:p>
    <w:p>
      <w:pPr>
        <w:pStyle w:val="4"/>
        <w:keepLines w:val="0"/>
        <w:spacing w:before="0" w:after="0" w:line="360" w:lineRule="auto"/>
        <w:rPr>
          <w:rFonts w:ascii="宋体"/>
          <w:color w:val="auto"/>
          <w:kern w:val="44"/>
          <w:sz w:val="21"/>
          <w:szCs w:val="21"/>
          <w:highlight w:val="none"/>
          <w:lang w:eastAsia="zh-CN"/>
        </w:rPr>
      </w:pPr>
      <w:bookmarkStart w:id="13" w:name="_Toc944"/>
      <w:bookmarkStart w:id="14" w:name="_Toc79479571"/>
      <w:bookmarkStart w:id="15" w:name="_Toc1183"/>
      <w:r>
        <w:rPr>
          <w:rFonts w:hint="eastAsia" w:ascii="宋体" w:hAnsi="宋体" w:cs="宋体"/>
          <w:color w:val="auto"/>
          <w:kern w:val="44"/>
          <w:sz w:val="21"/>
          <w:szCs w:val="21"/>
          <w:highlight w:val="none"/>
          <w:lang w:eastAsia="zh-CN"/>
        </w:rPr>
        <w:t>二、采购范围及相关要求</w:t>
      </w:r>
      <w:bookmarkEnd w:id="13"/>
      <w:bookmarkEnd w:id="14"/>
      <w:bookmarkEnd w:id="15"/>
    </w:p>
    <w:p>
      <w:pPr>
        <w:pStyle w:val="46"/>
        <w:keepNext/>
        <w:spacing w:line="360" w:lineRule="auto"/>
        <w:rPr>
          <w:color w:val="auto"/>
          <w:sz w:val="21"/>
          <w:szCs w:val="21"/>
          <w:highlight w:val="none"/>
          <w:lang w:val="en-US" w:eastAsia="zh-CN"/>
        </w:rPr>
      </w:pPr>
      <w:r>
        <w:rPr>
          <w:color w:val="auto"/>
          <w:sz w:val="21"/>
          <w:szCs w:val="21"/>
          <w:highlight w:val="none"/>
          <w:lang w:val="en-US" w:eastAsia="zh-CN"/>
        </w:rPr>
        <w:t>2.1</w:t>
      </w:r>
      <w:r>
        <w:rPr>
          <w:rFonts w:hint="eastAsia"/>
          <w:color w:val="auto"/>
          <w:sz w:val="21"/>
          <w:szCs w:val="21"/>
          <w:highlight w:val="none"/>
          <w:lang w:val="en-US" w:eastAsia="zh-CN"/>
        </w:rPr>
        <w:t>采购范围：液压支架阀组等维修配件采购，具体内容详见采购文件。</w:t>
      </w:r>
    </w:p>
    <w:p>
      <w:pPr>
        <w:pStyle w:val="46"/>
        <w:keepNext/>
        <w:spacing w:line="360" w:lineRule="auto"/>
        <w:rPr>
          <w:rFonts w:cs="Times New Roman"/>
          <w:color w:val="auto"/>
          <w:sz w:val="21"/>
          <w:szCs w:val="21"/>
          <w:highlight w:val="none"/>
          <w:lang w:val="en-US" w:eastAsia="zh-CN"/>
        </w:rPr>
      </w:pPr>
      <w:r>
        <w:rPr>
          <w:color w:val="auto"/>
          <w:sz w:val="21"/>
          <w:szCs w:val="21"/>
          <w:highlight w:val="none"/>
          <w:lang w:val="en-US" w:eastAsia="zh-CN"/>
        </w:rPr>
        <w:t>2.2</w:t>
      </w:r>
      <w:r>
        <w:rPr>
          <w:rFonts w:hint="eastAsia"/>
          <w:color w:val="auto"/>
          <w:sz w:val="21"/>
          <w:szCs w:val="21"/>
          <w:highlight w:val="none"/>
          <w:lang w:val="en-US" w:eastAsia="zh-CN"/>
        </w:rPr>
        <w:t>交货期：</w:t>
      </w:r>
      <w:r>
        <w:rPr>
          <w:rFonts w:hint="eastAsia"/>
          <w:color w:val="auto"/>
          <w:sz w:val="21"/>
          <w:szCs w:val="21"/>
          <w:highlight w:val="none"/>
          <w:lang w:val="en-US" w:eastAsia="zh-CN"/>
        </w:rPr>
        <w:t>合同签订后15日内；</w:t>
      </w:r>
    </w:p>
    <w:p>
      <w:pPr>
        <w:pStyle w:val="46"/>
        <w:keepNext/>
        <w:spacing w:line="360" w:lineRule="auto"/>
        <w:rPr>
          <w:color w:val="auto"/>
          <w:sz w:val="21"/>
          <w:szCs w:val="21"/>
          <w:highlight w:val="none"/>
          <w:lang w:val="en-US" w:eastAsia="zh-CN"/>
        </w:rPr>
      </w:pPr>
      <w:r>
        <w:rPr>
          <w:color w:val="auto"/>
          <w:sz w:val="21"/>
          <w:szCs w:val="21"/>
          <w:highlight w:val="none"/>
          <w:lang w:val="en-US" w:eastAsia="zh-CN"/>
        </w:rPr>
        <w:t>2.3</w:t>
      </w:r>
      <w:r>
        <w:rPr>
          <w:rFonts w:hint="eastAsia"/>
          <w:color w:val="auto"/>
          <w:sz w:val="21"/>
          <w:szCs w:val="21"/>
          <w:highlight w:val="none"/>
          <w:lang w:val="en-US" w:eastAsia="zh-CN"/>
        </w:rPr>
        <w:t>交货地点：采购人指定地点。</w:t>
      </w:r>
    </w:p>
    <w:p>
      <w:pPr>
        <w:pStyle w:val="46"/>
        <w:keepNext/>
        <w:spacing w:line="360" w:lineRule="auto"/>
        <w:rPr>
          <w:color w:val="auto"/>
          <w:sz w:val="21"/>
          <w:szCs w:val="21"/>
          <w:highlight w:val="none"/>
          <w:lang w:val="en-US" w:eastAsia="zh-CN"/>
        </w:rPr>
      </w:pPr>
      <w:r>
        <w:rPr>
          <w:rFonts w:hint="eastAsia"/>
          <w:color w:val="auto"/>
          <w:sz w:val="21"/>
          <w:szCs w:val="21"/>
          <w:highlight w:val="none"/>
          <w:lang w:val="en-US" w:eastAsia="zh-CN"/>
        </w:rPr>
        <w:t>2.4质量要求或服务标准：符合国家及行业标准。</w:t>
      </w:r>
    </w:p>
    <w:p>
      <w:pPr>
        <w:pStyle w:val="4"/>
        <w:keepLines w:val="0"/>
        <w:spacing w:before="0" w:after="0" w:line="360" w:lineRule="auto"/>
        <w:rPr>
          <w:rFonts w:ascii="宋体"/>
          <w:color w:val="auto"/>
          <w:kern w:val="44"/>
          <w:sz w:val="21"/>
          <w:szCs w:val="21"/>
          <w:highlight w:val="none"/>
          <w:lang w:eastAsia="zh-CN"/>
        </w:rPr>
      </w:pPr>
      <w:bookmarkStart w:id="16" w:name="bookmark173"/>
      <w:bookmarkEnd w:id="16"/>
      <w:bookmarkStart w:id="17" w:name="_Toc6575"/>
      <w:bookmarkStart w:id="18" w:name="bookmark174"/>
      <w:bookmarkStart w:id="19" w:name="_Toc31358"/>
      <w:bookmarkStart w:id="20" w:name="bookmark176"/>
      <w:bookmarkStart w:id="21" w:name="bookmark175"/>
      <w:bookmarkStart w:id="22" w:name="_Toc79479572"/>
      <w:r>
        <w:rPr>
          <w:rFonts w:hint="eastAsia" w:ascii="宋体" w:hAnsi="宋体" w:cs="宋体"/>
          <w:color w:val="auto"/>
          <w:kern w:val="44"/>
          <w:sz w:val="21"/>
          <w:szCs w:val="21"/>
          <w:highlight w:val="none"/>
          <w:lang w:eastAsia="zh-CN"/>
        </w:rPr>
        <w:t>三、供应商资格要求</w:t>
      </w:r>
      <w:bookmarkEnd w:id="17"/>
      <w:bookmarkEnd w:id="18"/>
      <w:bookmarkEnd w:id="19"/>
      <w:bookmarkEnd w:id="20"/>
      <w:bookmarkEnd w:id="21"/>
      <w:bookmarkEnd w:id="22"/>
    </w:p>
    <w:p>
      <w:pPr>
        <w:pStyle w:val="46"/>
        <w:keepNext/>
        <w:spacing w:line="360" w:lineRule="auto"/>
        <w:rPr>
          <w:color w:val="auto"/>
          <w:sz w:val="21"/>
          <w:szCs w:val="21"/>
          <w:highlight w:val="none"/>
          <w:lang w:val="en-US" w:eastAsia="zh-CN"/>
        </w:rPr>
      </w:pPr>
      <w:r>
        <w:rPr>
          <w:color w:val="auto"/>
          <w:sz w:val="21"/>
          <w:szCs w:val="21"/>
          <w:highlight w:val="none"/>
          <w:lang w:val="en-US" w:eastAsia="zh-CN"/>
        </w:rPr>
        <w:t>1.</w:t>
      </w:r>
      <w:r>
        <w:rPr>
          <w:rFonts w:hint="eastAsia"/>
          <w:color w:val="auto"/>
          <w:sz w:val="21"/>
          <w:szCs w:val="21"/>
          <w:highlight w:val="none"/>
          <w:lang w:val="en-US" w:eastAsia="zh-CN"/>
        </w:rPr>
        <w:t>具有独立法人资格，拥有有效的营业执照；</w:t>
      </w:r>
    </w:p>
    <w:p>
      <w:pPr>
        <w:pStyle w:val="46"/>
        <w:keepNext/>
        <w:spacing w:line="360" w:lineRule="auto"/>
        <w:rPr>
          <w:rFonts w:cs="Times New Roman"/>
          <w:color w:val="auto"/>
          <w:sz w:val="21"/>
          <w:szCs w:val="21"/>
          <w:highlight w:val="none"/>
          <w:lang w:val="en-US" w:eastAsia="zh-CN"/>
        </w:rPr>
      </w:pPr>
      <w:r>
        <w:rPr>
          <w:rFonts w:hint="eastAsia"/>
          <w:color w:val="auto"/>
          <w:sz w:val="21"/>
          <w:szCs w:val="21"/>
          <w:highlight w:val="none"/>
          <w:lang w:val="en-US" w:eastAsia="zh-CN"/>
        </w:rPr>
        <w:t>2</w:t>
      </w:r>
      <w:r>
        <w:rPr>
          <w:color w:val="auto"/>
          <w:sz w:val="21"/>
          <w:szCs w:val="21"/>
          <w:highlight w:val="none"/>
          <w:lang w:val="en-US" w:eastAsia="zh-CN"/>
        </w:rPr>
        <w:t>.</w:t>
      </w:r>
      <w:r>
        <w:rPr>
          <w:rFonts w:hint="eastAsia"/>
          <w:color w:val="auto"/>
          <w:sz w:val="21"/>
          <w:szCs w:val="21"/>
          <w:highlight w:val="none"/>
          <w:lang w:val="en-US" w:eastAsia="zh-CN"/>
        </w:rPr>
        <w:t>未被信用中国列入失信被执行人名单，未被全国企业信用信息公示系统列入严重违法失信企业名单；</w:t>
      </w:r>
    </w:p>
    <w:p>
      <w:pPr>
        <w:pStyle w:val="46"/>
        <w:keepNext/>
        <w:spacing w:line="360" w:lineRule="auto"/>
        <w:rPr>
          <w:color w:val="auto"/>
          <w:sz w:val="21"/>
          <w:szCs w:val="21"/>
          <w:highlight w:val="none"/>
          <w:lang w:val="en-US" w:eastAsia="zh-CN"/>
        </w:rPr>
      </w:pPr>
      <w:r>
        <w:rPr>
          <w:rFonts w:hint="eastAsia"/>
          <w:color w:val="auto"/>
          <w:sz w:val="21"/>
          <w:szCs w:val="21"/>
          <w:highlight w:val="none"/>
          <w:lang w:val="en-US" w:eastAsia="zh-CN"/>
        </w:rPr>
        <w:t>3</w:t>
      </w:r>
      <w:r>
        <w:rPr>
          <w:color w:val="auto"/>
          <w:sz w:val="21"/>
          <w:szCs w:val="21"/>
          <w:highlight w:val="none"/>
          <w:lang w:val="en-US" w:eastAsia="zh-CN"/>
        </w:rPr>
        <w:t>.</w:t>
      </w:r>
      <w:r>
        <w:rPr>
          <w:rFonts w:hint="eastAsia"/>
          <w:color w:val="auto"/>
          <w:sz w:val="21"/>
          <w:szCs w:val="21"/>
          <w:highlight w:val="none"/>
          <w:lang w:val="en-US" w:eastAsia="zh-CN"/>
        </w:rPr>
        <w:t>单位负责人为同一人或者存在控股、管理关系的不同单位，不得同时参加本项目；</w:t>
      </w:r>
    </w:p>
    <w:p>
      <w:pPr>
        <w:pStyle w:val="46"/>
        <w:keepNext/>
        <w:spacing w:line="360" w:lineRule="auto"/>
        <w:rPr>
          <w:color w:val="auto"/>
          <w:sz w:val="21"/>
          <w:szCs w:val="21"/>
          <w:highlight w:val="none"/>
          <w:lang w:val="en-US" w:eastAsia="zh-CN"/>
        </w:rPr>
      </w:pPr>
      <w:r>
        <w:rPr>
          <w:rFonts w:hint="eastAsia"/>
          <w:color w:val="auto"/>
          <w:sz w:val="21"/>
          <w:szCs w:val="21"/>
          <w:highlight w:val="none"/>
          <w:lang w:val="en-US" w:eastAsia="zh-CN"/>
        </w:rPr>
        <w:t>4.供应商应是山西省轻工建设有限责任公司2023年设备配件框架协议采购项目入围供应商；</w:t>
      </w:r>
    </w:p>
    <w:p>
      <w:pPr>
        <w:pStyle w:val="46"/>
        <w:keepNext/>
        <w:spacing w:line="360" w:lineRule="auto"/>
        <w:rPr>
          <w:color w:val="auto"/>
          <w:sz w:val="21"/>
          <w:szCs w:val="21"/>
          <w:highlight w:val="none"/>
          <w:lang w:val="en-US" w:eastAsia="zh-CN"/>
        </w:rPr>
      </w:pPr>
      <w:r>
        <w:rPr>
          <w:rFonts w:hint="eastAsia"/>
          <w:color w:val="auto"/>
          <w:sz w:val="21"/>
          <w:szCs w:val="21"/>
          <w:highlight w:val="none"/>
          <w:lang w:val="en-US" w:eastAsia="zh-CN"/>
        </w:rPr>
        <w:t>5</w:t>
      </w:r>
      <w:r>
        <w:rPr>
          <w:color w:val="auto"/>
          <w:sz w:val="21"/>
          <w:szCs w:val="21"/>
          <w:highlight w:val="none"/>
          <w:lang w:val="en-US" w:eastAsia="zh-CN"/>
        </w:rPr>
        <w:t>.</w:t>
      </w:r>
      <w:r>
        <w:rPr>
          <w:rFonts w:hint="eastAsia"/>
          <w:color w:val="auto"/>
          <w:sz w:val="21"/>
          <w:szCs w:val="21"/>
          <w:highlight w:val="none"/>
          <w:lang w:val="en-US" w:eastAsia="zh-CN"/>
        </w:rPr>
        <w:t>本次采购不接受联合体。</w:t>
      </w:r>
    </w:p>
    <w:p>
      <w:pPr>
        <w:pStyle w:val="4"/>
        <w:keepLines w:val="0"/>
        <w:spacing w:before="0" w:after="0" w:line="360" w:lineRule="auto"/>
        <w:rPr>
          <w:rFonts w:ascii="宋体" w:hAnsi="宋体" w:cs="宋体"/>
          <w:color w:val="auto"/>
          <w:kern w:val="44"/>
          <w:sz w:val="21"/>
          <w:szCs w:val="21"/>
          <w:highlight w:val="none"/>
          <w:lang w:eastAsia="zh-CN"/>
        </w:rPr>
      </w:pPr>
      <w:r>
        <w:rPr>
          <w:rFonts w:hint="eastAsia" w:ascii="宋体" w:hAnsi="宋体" w:cs="宋体"/>
          <w:color w:val="auto"/>
          <w:kern w:val="44"/>
          <w:sz w:val="21"/>
          <w:szCs w:val="21"/>
          <w:highlight w:val="none"/>
          <w:lang w:eastAsia="zh-CN"/>
        </w:rPr>
        <w:t>四、采购文件的获取</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4.1获取时间：</w:t>
      </w:r>
      <w:r>
        <w:rPr>
          <w:rFonts w:hint="eastAsia" w:asciiTheme="minorEastAsia" w:hAnsiTheme="minorEastAsia" w:eastAsiaTheme="minorEastAsia"/>
          <w:bCs/>
          <w:color w:val="auto"/>
          <w:kern w:val="44"/>
          <w:sz w:val="21"/>
          <w:szCs w:val="21"/>
          <w:highlight w:val="none"/>
          <w:lang w:val="en-US" w:eastAsia="zh-CN"/>
        </w:rPr>
        <w:t>2023年5月22日12时00分--2023年5月25日12时00分（北京时间，周六日正常上班）。</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4.2获取方法：凡有意参加本项目者，请在文件获取期间内通过“易交在线电子招标投标交易平台”（www.sxyjcg.com）网上获取采购文件。</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4.3获取采购文件需上传如下资料：</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（1）</w:t>
      </w:r>
      <w:r>
        <w:rPr>
          <w:rFonts w:hint="eastAsia" w:asciiTheme="minorEastAsia" w:hAnsiTheme="minorEastAsia" w:eastAsiaTheme="minorEastAsia"/>
          <w:bCs/>
          <w:color w:val="auto"/>
          <w:kern w:val="44"/>
          <w:sz w:val="21"/>
          <w:szCs w:val="21"/>
          <w:highlight w:val="none"/>
          <w:lang w:val="en-US" w:eastAsia="zh-CN"/>
        </w:rPr>
        <w:t>入围通知书及授权书</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提供上述一套资料（加盖公章）在线办理。扫描件文件类型为JPG或PDF格式。</w:t>
      </w:r>
    </w:p>
    <w:p>
      <w:pPr>
        <w:pStyle w:val="4"/>
        <w:keepLines w:val="0"/>
        <w:spacing w:before="0" w:after="0" w:line="360" w:lineRule="auto"/>
        <w:rPr>
          <w:rFonts w:ascii="宋体" w:hAnsi="宋体" w:cs="宋体"/>
          <w:color w:val="auto"/>
          <w:kern w:val="44"/>
          <w:sz w:val="21"/>
          <w:szCs w:val="21"/>
          <w:highlight w:val="none"/>
          <w:lang w:eastAsia="zh-CN"/>
        </w:rPr>
      </w:pPr>
      <w:r>
        <w:rPr>
          <w:rFonts w:hint="eastAsia" w:ascii="宋体" w:hAnsi="宋体" w:cs="宋体"/>
          <w:color w:val="auto"/>
          <w:kern w:val="44"/>
          <w:sz w:val="21"/>
          <w:szCs w:val="21"/>
          <w:highlight w:val="none"/>
          <w:lang w:eastAsia="zh-CN"/>
        </w:rPr>
        <w:t>五、响应文件的递交</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5.1 响应文件递交的截止时间为2023年</w:t>
      </w:r>
      <w:r>
        <w:rPr>
          <w:rFonts w:hint="eastAsia" w:asciiTheme="minorEastAsia" w:hAnsiTheme="minorEastAsia" w:eastAsiaTheme="minorEastAsia"/>
          <w:bCs/>
          <w:color w:val="auto"/>
          <w:kern w:val="44"/>
          <w:sz w:val="21"/>
          <w:szCs w:val="21"/>
          <w:highlight w:val="none"/>
          <w:lang w:val="en-US" w:eastAsia="zh-CN"/>
        </w:rPr>
        <w:t>5月25日14时30分，</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5.2递交地点：</w:t>
      </w:r>
      <w:r>
        <w:rPr>
          <w:rFonts w:hint="eastAsia"/>
          <w:snapToGrid w:val="0"/>
          <w:color w:val="auto"/>
          <w:sz w:val="21"/>
          <w:szCs w:val="21"/>
          <w:highlight w:val="none"/>
          <w:lang w:eastAsia="zh-CN"/>
        </w:rPr>
        <w:t>山西省太原市长风街</w:t>
      </w:r>
      <w:r>
        <w:rPr>
          <w:snapToGrid w:val="0"/>
          <w:color w:val="auto"/>
          <w:sz w:val="21"/>
          <w:szCs w:val="21"/>
          <w:highlight w:val="none"/>
          <w:lang w:eastAsia="zh-CN"/>
        </w:rPr>
        <w:t>705</w:t>
      </w:r>
      <w:r>
        <w:rPr>
          <w:rFonts w:hint="eastAsia"/>
          <w:snapToGrid w:val="0"/>
          <w:color w:val="auto"/>
          <w:sz w:val="21"/>
          <w:szCs w:val="21"/>
          <w:highlight w:val="none"/>
          <w:lang w:eastAsia="zh-CN"/>
        </w:rPr>
        <w:t>号和信商座</w:t>
      </w:r>
      <w:r>
        <w:rPr>
          <w:snapToGrid w:val="0"/>
          <w:color w:val="auto"/>
          <w:sz w:val="21"/>
          <w:szCs w:val="21"/>
          <w:highlight w:val="none"/>
          <w:lang w:eastAsia="zh-CN"/>
        </w:rPr>
        <w:t>19</w:t>
      </w:r>
      <w:r>
        <w:rPr>
          <w:rFonts w:hint="eastAsia"/>
          <w:snapToGrid w:val="0"/>
          <w:color w:val="auto"/>
          <w:sz w:val="21"/>
          <w:szCs w:val="21"/>
          <w:highlight w:val="none"/>
          <w:lang w:eastAsia="zh-CN"/>
        </w:rPr>
        <w:t>层会议室</w:t>
      </w:r>
      <w:r>
        <w:rPr>
          <w:rFonts w:hint="eastAsia" w:asciiTheme="minorEastAsia" w:hAnsiTheme="minorEastAsia" w:eastAsiaTheme="minorEastAsia"/>
          <w:bCs/>
          <w:color w:val="auto"/>
          <w:kern w:val="44"/>
          <w:sz w:val="21"/>
          <w:szCs w:val="21"/>
          <w:highlight w:val="none"/>
          <w:lang w:val="en-US" w:eastAsia="zh-CN"/>
        </w:rPr>
        <w:t>；</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5.3 逾期送达的、未送达指定地点的或未密封的响应文件，采购人将拒绝接收。</w:t>
      </w:r>
    </w:p>
    <w:p>
      <w:pPr>
        <w:pStyle w:val="4"/>
        <w:keepLines w:val="0"/>
        <w:spacing w:before="0" w:after="0" w:line="360" w:lineRule="auto"/>
        <w:rPr>
          <w:rFonts w:ascii="宋体" w:hAnsi="宋体" w:cs="宋体"/>
          <w:color w:val="auto"/>
          <w:kern w:val="44"/>
          <w:sz w:val="21"/>
          <w:szCs w:val="21"/>
          <w:highlight w:val="none"/>
          <w:lang w:eastAsia="zh-CN"/>
        </w:rPr>
      </w:pPr>
      <w:r>
        <w:rPr>
          <w:rFonts w:hint="eastAsia" w:ascii="宋体" w:hAnsi="宋体" w:cs="宋体"/>
          <w:color w:val="auto"/>
          <w:kern w:val="44"/>
          <w:sz w:val="21"/>
          <w:szCs w:val="21"/>
          <w:highlight w:val="none"/>
          <w:lang w:eastAsia="zh-CN"/>
        </w:rPr>
        <w:t>六、响应文件开启时间和地点</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响应文件开启在响应文件递交截止时间的同一时间进行，地点为响应文件递交地点。</w:t>
      </w:r>
    </w:p>
    <w:p>
      <w:pPr>
        <w:pStyle w:val="4"/>
        <w:keepLines w:val="0"/>
        <w:spacing w:before="0" w:after="0" w:line="360" w:lineRule="auto"/>
        <w:rPr>
          <w:rFonts w:ascii="宋体" w:hAnsi="宋体" w:cs="宋体"/>
          <w:color w:val="auto"/>
          <w:kern w:val="44"/>
          <w:sz w:val="21"/>
          <w:szCs w:val="21"/>
          <w:highlight w:val="none"/>
          <w:lang w:eastAsia="zh-CN"/>
        </w:rPr>
      </w:pPr>
      <w:r>
        <w:rPr>
          <w:rFonts w:hint="eastAsia" w:ascii="宋体" w:hAnsi="宋体" w:cs="宋体"/>
          <w:color w:val="auto"/>
          <w:kern w:val="44"/>
          <w:sz w:val="21"/>
          <w:szCs w:val="21"/>
          <w:highlight w:val="none"/>
          <w:lang w:eastAsia="zh-CN"/>
        </w:rPr>
        <w:t>七、发布公告的媒介</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本询比釆购公告在《易交在线电子招标投标交易平台》发布。</w:t>
      </w:r>
    </w:p>
    <w:p>
      <w:pPr>
        <w:pStyle w:val="4"/>
        <w:keepLines w:val="0"/>
        <w:spacing w:before="0" w:after="0" w:line="360" w:lineRule="auto"/>
        <w:rPr>
          <w:rFonts w:ascii="宋体" w:hAnsi="宋体" w:cs="宋体"/>
          <w:color w:val="auto"/>
          <w:kern w:val="44"/>
          <w:sz w:val="21"/>
          <w:szCs w:val="21"/>
          <w:highlight w:val="none"/>
          <w:lang w:eastAsia="zh-CN"/>
        </w:rPr>
      </w:pPr>
      <w:r>
        <w:rPr>
          <w:rFonts w:hint="eastAsia" w:ascii="宋体" w:hAnsi="宋体" w:cs="宋体"/>
          <w:color w:val="auto"/>
          <w:kern w:val="44"/>
          <w:sz w:val="21"/>
          <w:szCs w:val="21"/>
          <w:highlight w:val="none"/>
          <w:lang w:eastAsia="zh-CN"/>
        </w:rPr>
        <w:t>八、联系方式</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采 购 人：山西省轻工建设有限责任公司</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地    址：太原市长治路寇庄北街12号</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联 系 人：智先生</w:t>
      </w:r>
    </w:p>
    <w:p>
      <w:pPr>
        <w:pStyle w:val="46"/>
        <w:keepNext/>
        <w:spacing w:line="360" w:lineRule="auto"/>
        <w:rPr>
          <w:rFonts w:asciiTheme="minorEastAsia" w:hAnsiTheme="minorEastAsia" w:eastAsiaTheme="minorEastAsia"/>
          <w:bCs/>
          <w:color w:val="auto"/>
          <w:kern w:val="44"/>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联系电话：15135588678</w:t>
      </w:r>
    </w:p>
    <w:p>
      <w:pPr>
        <w:keepNext/>
        <w:tabs>
          <w:tab w:val="left" w:pos="6404"/>
          <w:tab w:val="left" w:pos="7713"/>
          <w:tab w:val="left" w:pos="8869"/>
          <w:tab w:val="left" w:pos="10236"/>
        </w:tabs>
        <w:adjustRightInd w:val="0"/>
        <w:snapToGrid w:val="0"/>
        <w:spacing w:line="360" w:lineRule="auto"/>
        <w:ind w:firstLine="420" w:firstLineChars="200"/>
        <w:jc w:val="both"/>
        <w:rPr>
          <w:rFonts w:ascii="宋体" w:hAnsi="宋体"/>
          <w:snapToGrid w:val="0"/>
          <w:color w:val="auto"/>
          <w:sz w:val="21"/>
          <w:szCs w:val="21"/>
          <w:highlight w:val="none"/>
          <w:lang w:eastAsia="zh-CN"/>
        </w:rPr>
      </w:pPr>
      <w:r>
        <w:rPr>
          <w:rFonts w:hint="eastAsia" w:ascii="宋体" w:hAnsi="宋体"/>
          <w:snapToGrid w:val="0"/>
          <w:color w:val="auto"/>
          <w:sz w:val="21"/>
          <w:szCs w:val="21"/>
          <w:highlight w:val="none"/>
          <w:lang w:eastAsia="zh-CN"/>
        </w:rPr>
        <w:t>招标代理：华安项目管理咨询有限公司</w:t>
      </w:r>
    </w:p>
    <w:p>
      <w:pPr>
        <w:keepNext/>
        <w:tabs>
          <w:tab w:val="left" w:pos="6404"/>
          <w:tab w:val="left" w:pos="7713"/>
          <w:tab w:val="left" w:pos="8869"/>
          <w:tab w:val="left" w:pos="10236"/>
        </w:tabs>
        <w:adjustRightInd w:val="0"/>
        <w:snapToGrid w:val="0"/>
        <w:spacing w:line="360" w:lineRule="auto"/>
        <w:ind w:firstLine="420" w:firstLineChars="200"/>
        <w:jc w:val="both"/>
        <w:rPr>
          <w:rFonts w:ascii="宋体" w:hAnsi="宋体"/>
          <w:snapToGrid w:val="0"/>
          <w:color w:val="auto"/>
          <w:sz w:val="21"/>
          <w:szCs w:val="21"/>
          <w:highlight w:val="none"/>
          <w:lang w:eastAsia="zh-CN"/>
        </w:rPr>
      </w:pPr>
      <w:r>
        <w:rPr>
          <w:rFonts w:hint="eastAsia" w:ascii="宋体" w:hAnsi="宋体"/>
          <w:snapToGrid w:val="0"/>
          <w:color w:val="auto"/>
          <w:sz w:val="21"/>
          <w:szCs w:val="21"/>
          <w:highlight w:val="none"/>
          <w:lang w:eastAsia="zh-CN"/>
        </w:rPr>
        <w:t>地址：山西省太原市长风街</w:t>
      </w:r>
      <w:r>
        <w:rPr>
          <w:rFonts w:ascii="宋体" w:hAnsi="宋体"/>
          <w:snapToGrid w:val="0"/>
          <w:color w:val="auto"/>
          <w:sz w:val="21"/>
          <w:szCs w:val="21"/>
          <w:highlight w:val="none"/>
          <w:lang w:eastAsia="zh-CN"/>
        </w:rPr>
        <w:t>705</w:t>
      </w:r>
      <w:r>
        <w:rPr>
          <w:rFonts w:hint="eastAsia" w:ascii="宋体" w:hAnsi="宋体"/>
          <w:snapToGrid w:val="0"/>
          <w:color w:val="auto"/>
          <w:sz w:val="21"/>
          <w:szCs w:val="21"/>
          <w:highlight w:val="none"/>
          <w:lang w:eastAsia="zh-CN"/>
        </w:rPr>
        <w:t>号和信商座</w:t>
      </w:r>
      <w:r>
        <w:rPr>
          <w:rFonts w:ascii="宋体" w:hAnsi="宋体"/>
          <w:snapToGrid w:val="0"/>
          <w:color w:val="auto"/>
          <w:sz w:val="21"/>
          <w:szCs w:val="21"/>
          <w:highlight w:val="none"/>
          <w:lang w:eastAsia="zh-CN"/>
        </w:rPr>
        <w:t>19</w:t>
      </w:r>
      <w:r>
        <w:rPr>
          <w:rFonts w:hint="eastAsia" w:ascii="宋体" w:hAnsi="宋体"/>
          <w:snapToGrid w:val="0"/>
          <w:color w:val="auto"/>
          <w:sz w:val="21"/>
          <w:szCs w:val="21"/>
          <w:highlight w:val="none"/>
          <w:lang w:eastAsia="zh-CN"/>
        </w:rPr>
        <w:t>层</w:t>
      </w:r>
    </w:p>
    <w:p>
      <w:pPr>
        <w:keepNext/>
        <w:tabs>
          <w:tab w:val="left" w:pos="6404"/>
          <w:tab w:val="left" w:pos="7713"/>
          <w:tab w:val="left" w:pos="8869"/>
          <w:tab w:val="left" w:pos="10236"/>
        </w:tabs>
        <w:adjustRightInd w:val="0"/>
        <w:snapToGrid w:val="0"/>
        <w:spacing w:line="360" w:lineRule="auto"/>
        <w:ind w:firstLine="420" w:firstLineChars="200"/>
        <w:jc w:val="both"/>
        <w:rPr>
          <w:rFonts w:ascii="宋体" w:hAnsi="宋体"/>
          <w:snapToGrid w:val="0"/>
          <w:color w:val="auto"/>
          <w:sz w:val="21"/>
          <w:szCs w:val="21"/>
          <w:highlight w:val="none"/>
          <w:lang w:eastAsia="zh-CN"/>
        </w:rPr>
      </w:pPr>
      <w:r>
        <w:rPr>
          <w:rFonts w:hint="eastAsia" w:ascii="宋体" w:hAnsi="宋体"/>
          <w:snapToGrid w:val="0"/>
          <w:color w:val="auto"/>
          <w:sz w:val="21"/>
          <w:szCs w:val="21"/>
          <w:highlight w:val="none"/>
          <w:lang w:eastAsia="zh-CN"/>
        </w:rPr>
        <w:t>联系人：郝瑞凯、郝伟、陈波</w:t>
      </w:r>
    </w:p>
    <w:p>
      <w:pPr>
        <w:keepNext/>
        <w:tabs>
          <w:tab w:val="left" w:pos="6404"/>
          <w:tab w:val="left" w:pos="7713"/>
          <w:tab w:val="left" w:pos="8869"/>
          <w:tab w:val="left" w:pos="10236"/>
        </w:tabs>
        <w:adjustRightInd w:val="0"/>
        <w:snapToGrid w:val="0"/>
        <w:spacing w:line="360" w:lineRule="auto"/>
        <w:ind w:firstLine="420" w:firstLineChars="200"/>
        <w:jc w:val="both"/>
        <w:rPr>
          <w:rFonts w:ascii="宋体" w:hAnsi="宋体"/>
          <w:snapToGrid w:val="0"/>
          <w:color w:val="auto"/>
          <w:sz w:val="21"/>
          <w:szCs w:val="21"/>
          <w:highlight w:val="none"/>
          <w:lang w:eastAsia="zh-CN"/>
        </w:rPr>
      </w:pPr>
      <w:r>
        <w:rPr>
          <w:rFonts w:hint="eastAsia" w:ascii="宋体" w:hAnsi="宋体"/>
          <w:snapToGrid w:val="0"/>
          <w:color w:val="auto"/>
          <w:sz w:val="21"/>
          <w:szCs w:val="21"/>
          <w:highlight w:val="none"/>
          <w:lang w:eastAsia="zh-CN"/>
        </w:rPr>
        <w:t>电话：</w:t>
      </w:r>
      <w:r>
        <w:rPr>
          <w:rFonts w:ascii="宋体" w:hAnsi="宋体"/>
          <w:snapToGrid w:val="0"/>
          <w:color w:val="auto"/>
          <w:sz w:val="21"/>
          <w:szCs w:val="21"/>
          <w:highlight w:val="none"/>
          <w:lang w:eastAsia="zh-CN"/>
        </w:rPr>
        <w:t>0351-27151</w:t>
      </w:r>
      <w:r>
        <w:rPr>
          <w:rFonts w:hint="eastAsia" w:ascii="宋体" w:hAnsi="宋体"/>
          <w:snapToGrid w:val="0"/>
          <w:color w:val="auto"/>
          <w:sz w:val="21"/>
          <w:szCs w:val="21"/>
          <w:highlight w:val="none"/>
          <w:lang w:eastAsia="zh-CN"/>
        </w:rPr>
        <w:t>87</w:t>
      </w:r>
    </w:p>
    <w:p>
      <w:pPr>
        <w:pStyle w:val="46"/>
        <w:keepNext/>
        <w:spacing w:line="360" w:lineRule="auto"/>
        <w:rPr>
          <w:color w:val="auto"/>
          <w:sz w:val="21"/>
          <w:szCs w:val="21"/>
          <w:highlight w:val="none"/>
          <w:lang w:val="en-US" w:eastAsia="zh-CN"/>
        </w:rPr>
      </w:pPr>
      <w:r>
        <w:rPr>
          <w:rFonts w:hint="eastAsia" w:asciiTheme="minorEastAsia" w:hAnsiTheme="minorEastAsia" w:eastAsiaTheme="minorEastAsia"/>
          <w:bCs/>
          <w:color w:val="auto"/>
          <w:kern w:val="44"/>
          <w:sz w:val="21"/>
          <w:szCs w:val="21"/>
          <w:highlight w:val="none"/>
          <w:lang w:val="en-US" w:eastAsia="zh-CN"/>
        </w:rPr>
        <w:t>电子邮件：243384978@qq.com</w:t>
      </w:r>
    </w:p>
    <w:p>
      <w:pPr>
        <w:keepNext/>
        <w:spacing w:line="360" w:lineRule="auto"/>
        <w:outlineLvl w:val="1"/>
        <w:rPr>
          <w:color w:val="auto"/>
          <w:sz w:val="21"/>
          <w:szCs w:val="21"/>
          <w:highlight w:val="none"/>
          <w:lang w:eastAsia="zh-CN"/>
        </w:rPr>
      </w:pPr>
    </w:p>
    <w:p>
      <w:pPr>
        <w:keepNext/>
        <w:spacing w:line="360" w:lineRule="auto"/>
        <w:outlineLvl w:val="1"/>
        <w:rPr>
          <w:color w:val="auto"/>
          <w:sz w:val="21"/>
          <w:szCs w:val="21"/>
          <w:highlight w:val="none"/>
          <w:lang w:eastAsia="zh-CN"/>
        </w:rPr>
      </w:pPr>
    </w:p>
    <w:p>
      <w:pPr>
        <w:keepNext/>
        <w:spacing w:line="360" w:lineRule="auto"/>
        <w:ind w:firstLine="420" w:firstLineChars="200"/>
        <w:rPr>
          <w:rFonts w:ascii="宋体"/>
          <w:color w:val="auto"/>
          <w:sz w:val="21"/>
          <w:szCs w:val="21"/>
          <w:highlight w:val="none"/>
          <w:lang w:eastAsia="zh-CN"/>
        </w:rPr>
      </w:pPr>
      <w:r>
        <w:rPr>
          <w:rFonts w:ascii="宋体"/>
          <w:color w:val="auto"/>
          <w:sz w:val="21"/>
          <w:szCs w:val="21"/>
          <w:highlight w:val="none"/>
          <w:lang w:eastAsia="zh-CN"/>
        </w:rPr>
        <w:br w:type="page"/>
      </w:r>
    </w:p>
    <w:p>
      <w:pPr>
        <w:pStyle w:val="3"/>
        <w:keepLines w:val="0"/>
        <w:jc w:val="center"/>
        <w:rPr>
          <w:rFonts w:ascii="宋体" w:hAnsi="宋体" w:cs="宋体"/>
          <w:color w:val="auto"/>
          <w:sz w:val="52"/>
          <w:szCs w:val="52"/>
          <w:highlight w:val="none"/>
          <w:lang w:eastAsia="zh-CN"/>
        </w:rPr>
      </w:pPr>
      <w:bookmarkStart w:id="23" w:name="_Toc79479578"/>
      <w:bookmarkStart w:id="24" w:name="_Toc26686"/>
      <w:bookmarkStart w:id="25" w:name="bookmark259"/>
      <w:bookmarkStart w:id="26" w:name="bookmark258"/>
      <w:bookmarkStart w:id="27" w:name="bookmark257"/>
    </w:p>
    <w:p>
      <w:pPr>
        <w:pStyle w:val="3"/>
        <w:keepLines w:val="0"/>
        <w:jc w:val="center"/>
        <w:rPr>
          <w:rFonts w:ascii="宋体" w:hAnsi="宋体" w:cs="宋体"/>
          <w:color w:val="auto"/>
          <w:sz w:val="52"/>
          <w:szCs w:val="52"/>
          <w:highlight w:val="none"/>
          <w:lang w:eastAsia="zh-CN"/>
        </w:rPr>
      </w:pPr>
    </w:p>
    <w:p>
      <w:pPr>
        <w:pStyle w:val="3"/>
        <w:keepLines w:val="0"/>
        <w:jc w:val="center"/>
        <w:rPr>
          <w:rFonts w:ascii="宋体"/>
          <w:color w:val="auto"/>
          <w:sz w:val="52"/>
          <w:szCs w:val="52"/>
          <w:highlight w:val="none"/>
          <w:lang w:eastAsia="zh-CN"/>
        </w:rPr>
      </w:pPr>
      <w:r>
        <w:rPr>
          <w:rFonts w:hint="eastAsia" w:ascii="宋体" w:hAnsi="宋体" w:cs="宋体"/>
          <w:color w:val="auto"/>
          <w:sz w:val="52"/>
          <w:szCs w:val="52"/>
          <w:highlight w:val="none"/>
          <w:lang w:eastAsia="zh-CN"/>
        </w:rPr>
        <w:t>第二章供应商须知</w:t>
      </w:r>
      <w:bookmarkEnd w:id="23"/>
      <w:bookmarkEnd w:id="24"/>
    </w:p>
    <w:p>
      <w:pPr>
        <w:pStyle w:val="46"/>
        <w:keepNext/>
        <w:tabs>
          <w:tab w:val="left" w:pos="950"/>
          <w:tab w:val="left" w:pos="2150"/>
          <w:tab w:val="left" w:pos="3350"/>
        </w:tabs>
        <w:spacing w:line="360" w:lineRule="auto"/>
        <w:ind w:firstLine="0"/>
        <w:rPr>
          <w:rFonts w:cs="Times New Roman"/>
          <w:color w:val="auto"/>
          <w:sz w:val="24"/>
          <w:szCs w:val="24"/>
          <w:highlight w:val="none"/>
          <w:lang w:val="en-US" w:eastAsia="zh-CN"/>
        </w:rPr>
      </w:pPr>
    </w:p>
    <w:p>
      <w:pPr>
        <w:pStyle w:val="4"/>
        <w:keepLines w:val="0"/>
        <w:spacing w:before="0" w:after="0" w:line="360" w:lineRule="auto"/>
        <w:jc w:val="center"/>
        <w:rPr>
          <w:rFonts w:ascii="宋体"/>
          <w:color w:val="auto"/>
          <w:kern w:val="44"/>
          <w:sz w:val="28"/>
          <w:szCs w:val="28"/>
          <w:highlight w:val="none"/>
          <w:lang w:eastAsia="zh-CN"/>
        </w:rPr>
      </w:pPr>
      <w:bookmarkStart w:id="28" w:name="_Toc16866"/>
      <w:bookmarkStart w:id="29" w:name="_Toc2907"/>
      <w:bookmarkStart w:id="30" w:name="_Toc79479579"/>
      <w:r>
        <w:rPr>
          <w:rFonts w:ascii="宋体"/>
          <w:color w:val="auto"/>
          <w:kern w:val="44"/>
          <w:sz w:val="28"/>
          <w:szCs w:val="28"/>
          <w:highlight w:val="none"/>
          <w:lang w:eastAsia="zh-CN"/>
        </w:rPr>
        <w:br w:type="page"/>
      </w:r>
      <w:r>
        <w:rPr>
          <w:rFonts w:hint="eastAsia" w:ascii="宋体" w:hAnsi="宋体" w:cs="宋体"/>
          <w:color w:val="auto"/>
          <w:kern w:val="44"/>
          <w:sz w:val="28"/>
          <w:szCs w:val="28"/>
          <w:highlight w:val="none"/>
          <w:lang w:eastAsia="zh-CN"/>
        </w:rPr>
        <w:t>供应商须知前附表</w:t>
      </w:r>
      <w:bookmarkEnd w:id="25"/>
      <w:bookmarkEnd w:id="26"/>
      <w:bookmarkEnd w:id="27"/>
      <w:bookmarkEnd w:id="28"/>
      <w:bookmarkEnd w:id="29"/>
      <w:bookmarkEnd w:id="30"/>
    </w:p>
    <w:tbl>
      <w:tblPr>
        <w:tblStyle w:val="26"/>
        <w:tblW w:w="90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3127"/>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条款号</w:t>
            </w:r>
          </w:p>
        </w:tc>
        <w:tc>
          <w:tcPr>
            <w:tcW w:w="3127" w:type="dxa"/>
            <w:vAlign w:val="center"/>
          </w:tcPr>
          <w:p>
            <w:pPr>
              <w:keepNext/>
              <w:ind w:firstLine="420" w:firstLineChars="200"/>
              <w:jc w:val="center"/>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条款内容</w:t>
            </w:r>
          </w:p>
        </w:tc>
        <w:tc>
          <w:tcPr>
            <w:tcW w:w="4404" w:type="dxa"/>
            <w:vAlign w:val="center"/>
          </w:tcPr>
          <w:p>
            <w:pPr>
              <w:keepNext/>
              <w:ind w:firstLine="420" w:firstLineChars="200"/>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1.7.1</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踏勘现场</w:t>
            </w:r>
          </w:p>
        </w:tc>
        <w:tc>
          <w:tcPr>
            <w:tcW w:w="4404" w:type="dxa"/>
            <w:vAlign w:val="center"/>
          </w:tcPr>
          <w:p>
            <w:pPr>
              <w:keepNext/>
              <w:rPr>
                <w:rFonts w:ascii="宋体"/>
                <w:color w:val="auto"/>
                <w:sz w:val="21"/>
                <w:szCs w:val="21"/>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不组织</w:t>
            </w:r>
          </w:p>
          <w:p>
            <w:pPr>
              <w:keepNext/>
              <w:rPr>
                <w:rFonts w:ascii="宋体"/>
                <w:color w:val="auto"/>
                <w:sz w:val="21"/>
                <w:szCs w:val="21"/>
                <w:highlight w:val="none"/>
                <w:u w:val="singl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组织，踏勘时间：</w:t>
            </w:r>
          </w:p>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踏勘集中地点：</w:t>
            </w:r>
            <w:r>
              <w:rPr>
                <w:rFonts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1.8</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询比采购预备会</w:t>
            </w:r>
          </w:p>
        </w:tc>
        <w:tc>
          <w:tcPr>
            <w:tcW w:w="4404" w:type="dxa"/>
            <w:vAlign w:val="center"/>
          </w:tcPr>
          <w:p>
            <w:pPr>
              <w:keepNext/>
              <w:rPr>
                <w:rFonts w:ascii="宋体"/>
                <w:color w:val="auto"/>
                <w:sz w:val="21"/>
                <w:szCs w:val="21"/>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不召开</w:t>
            </w:r>
          </w:p>
          <w:p>
            <w:pPr>
              <w:keepNext/>
              <w:rPr>
                <w:rFonts w:ascii="宋体"/>
                <w:color w:val="auto"/>
                <w:sz w:val="21"/>
                <w:szCs w:val="21"/>
                <w:highlight w:val="none"/>
                <w:u w:val="singl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召开，召开时间：</w:t>
            </w:r>
          </w:p>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召开地点：</w:t>
            </w:r>
            <w:r>
              <w:rPr>
                <w:rFonts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1.10.2</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对非关键条款的偏差</w:t>
            </w:r>
          </w:p>
        </w:tc>
        <w:tc>
          <w:tcPr>
            <w:tcW w:w="4404" w:type="dxa"/>
            <w:vAlign w:val="center"/>
          </w:tcPr>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不允许偏差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olor w:val="auto"/>
                <w:sz w:val="21"/>
                <w:szCs w:val="21"/>
                <w:highlight w:val="none"/>
                <w:lang w:eastAsia="zh-CN"/>
              </w:rPr>
            </w:pPr>
            <w:r>
              <w:rPr>
                <w:rFonts w:ascii="宋体" w:hAnsi="宋体" w:cs="宋体"/>
                <w:color w:val="auto"/>
                <w:sz w:val="21"/>
                <w:szCs w:val="21"/>
                <w:highlight w:val="none"/>
                <w:lang w:eastAsia="zh-CN"/>
              </w:rPr>
              <w:t>2.1</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7</w:t>
            </w:r>
            <w:r>
              <w:rPr>
                <w:rFonts w:hint="eastAsia" w:ascii="宋体" w:hAnsi="宋体" w:cs="宋体"/>
                <w:color w:val="auto"/>
                <w:sz w:val="21"/>
                <w:szCs w:val="21"/>
                <w:highlight w:val="none"/>
                <w:lang w:eastAsia="zh-CN"/>
              </w:rPr>
              <w:t>）</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构成采购文件的其他资料</w:t>
            </w:r>
          </w:p>
        </w:tc>
        <w:tc>
          <w:tcPr>
            <w:tcW w:w="4404" w:type="dxa"/>
            <w:vAlign w:val="center"/>
          </w:tcPr>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资料名称</w:t>
            </w:r>
            <w:r>
              <w:rPr>
                <w:rFonts w:ascii="宋体" w:hAnsi="宋体" w:cs="宋体"/>
                <w:color w:val="auto"/>
                <w:sz w:val="21"/>
                <w:szCs w:val="21"/>
                <w:highlight w:val="none"/>
                <w:lang w:eastAsia="zh-CN"/>
              </w:rPr>
              <w:t>:</w:t>
            </w:r>
            <w:r>
              <w:rPr>
                <w:rFonts w:hint="eastAsia" w:ascii="宋体" w:hAnsi="宋体" w:cs="宋体"/>
                <w:color w:val="auto"/>
                <w:sz w:val="21"/>
                <w:szCs w:val="21"/>
                <w:highlight w:val="none"/>
                <w:u w:val="singl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2.2.1</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供应商要求澄清采购文件的时间</w:t>
            </w:r>
          </w:p>
        </w:tc>
        <w:tc>
          <w:tcPr>
            <w:tcW w:w="4404" w:type="dxa"/>
            <w:vAlign w:val="center"/>
          </w:tcPr>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截止时间：</w:t>
            </w:r>
            <w:r>
              <w:rPr>
                <w:rFonts w:hint="eastAsia" w:ascii="宋体" w:hAnsi="宋体" w:cs="宋体"/>
                <w:color w:val="auto"/>
                <w:sz w:val="21"/>
                <w:szCs w:val="21"/>
                <w:highlight w:val="none"/>
                <w:u w:val="single"/>
                <w:lang w:eastAsia="zh-CN"/>
              </w:rPr>
              <w:t>响应截止时间</w:t>
            </w:r>
            <w:r>
              <w:rPr>
                <w:rFonts w:ascii="宋体" w:hAnsi="宋体" w:cs="宋体"/>
                <w:color w:val="auto"/>
                <w:sz w:val="21"/>
                <w:szCs w:val="21"/>
                <w:highlight w:val="none"/>
                <w:u w:val="single"/>
                <w:lang w:eastAsia="zh-CN"/>
              </w:rPr>
              <w:t>1</w:t>
            </w:r>
            <w:r>
              <w:rPr>
                <w:rFonts w:hint="eastAsia" w:ascii="宋体" w:hAnsi="宋体" w:cs="宋体"/>
                <w:color w:val="auto"/>
                <w:sz w:val="21"/>
                <w:szCs w:val="21"/>
                <w:highlight w:val="none"/>
                <w:u w:val="single"/>
                <w:lang w:eastAsia="zh-CN"/>
              </w:rPr>
              <w:t>日前</w:t>
            </w:r>
          </w:p>
          <w:p>
            <w:pPr>
              <w:keepNext/>
              <w:rPr>
                <w:rFonts w:ascii="宋体"/>
                <w:color w:val="auto"/>
                <w:sz w:val="21"/>
                <w:szCs w:val="21"/>
                <w:highlight w:val="none"/>
                <w:lang w:eastAsia="zh-CN"/>
              </w:rPr>
            </w:pPr>
            <w:r>
              <w:rPr>
                <w:rFonts w:hint="eastAsia" w:ascii="宋体" w:hAnsi="宋体" w:cs="宋体"/>
                <w:color w:val="auto"/>
                <w:sz w:val="21"/>
                <w:szCs w:val="21"/>
                <w:highlight w:val="none"/>
                <w:lang w:eastAsia="zh-CN"/>
              </w:rPr>
              <w:t>形式：</w:t>
            </w:r>
            <w:r>
              <w:rPr>
                <w:rFonts w:hint="eastAsia" w:ascii="宋体" w:hAnsi="宋体" w:cs="宋体"/>
                <w:color w:val="auto"/>
                <w:sz w:val="21"/>
                <w:szCs w:val="21"/>
                <w:highlight w:val="none"/>
                <w:u w:val="single"/>
                <w:lang w:eastAsia="zh-CN"/>
              </w:rPr>
              <w:t>电子邮件形式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2.2.3</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供应商确认收到采购文件补充文件</w:t>
            </w:r>
          </w:p>
        </w:tc>
        <w:tc>
          <w:tcPr>
            <w:tcW w:w="4404" w:type="dxa"/>
            <w:vAlign w:val="center"/>
          </w:tcPr>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确认的最晚时间：</w:t>
            </w:r>
            <w:r>
              <w:rPr>
                <w:rFonts w:hint="eastAsia" w:ascii="宋体" w:hAnsi="宋体" w:cs="宋体"/>
                <w:color w:val="auto"/>
                <w:sz w:val="21"/>
                <w:szCs w:val="21"/>
                <w:highlight w:val="none"/>
                <w:u w:val="single"/>
                <w:lang w:eastAsia="zh-CN"/>
              </w:rPr>
              <w:t>在收到相应澄清文件后</w:t>
            </w:r>
            <w:r>
              <w:rPr>
                <w:rFonts w:ascii="宋体" w:hAnsi="宋体" w:cs="宋体"/>
                <w:color w:val="auto"/>
                <w:sz w:val="21"/>
                <w:szCs w:val="21"/>
                <w:highlight w:val="none"/>
                <w:u w:val="single"/>
                <w:lang w:eastAsia="zh-CN"/>
              </w:rPr>
              <w:t>24</w:t>
            </w:r>
            <w:r>
              <w:rPr>
                <w:rFonts w:hint="eastAsia" w:ascii="宋体" w:hAnsi="宋体" w:cs="宋体"/>
                <w:color w:val="auto"/>
                <w:sz w:val="21"/>
                <w:szCs w:val="21"/>
                <w:highlight w:val="none"/>
                <w:u w:val="single"/>
                <w:lang w:eastAsia="zh-CN"/>
              </w:rPr>
              <w:t>小时内</w:t>
            </w:r>
          </w:p>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确认的方式：</w:t>
            </w:r>
            <w:r>
              <w:rPr>
                <w:rFonts w:hint="eastAsia" w:ascii="宋体" w:hAnsi="宋体" w:cs="宋体"/>
                <w:color w:val="auto"/>
                <w:sz w:val="21"/>
                <w:szCs w:val="21"/>
                <w:highlight w:val="none"/>
                <w:u w:val="single"/>
                <w:lang w:eastAsia="zh-CN"/>
              </w:rPr>
              <w:t>电子邮件形式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olor w:val="auto"/>
                <w:sz w:val="21"/>
                <w:szCs w:val="21"/>
                <w:highlight w:val="none"/>
                <w:lang w:eastAsia="zh-CN"/>
              </w:rPr>
            </w:pPr>
            <w:r>
              <w:rPr>
                <w:rFonts w:ascii="宋体" w:hAnsi="宋体" w:cs="宋体"/>
                <w:color w:val="auto"/>
                <w:sz w:val="21"/>
                <w:szCs w:val="21"/>
                <w:highlight w:val="none"/>
                <w:lang w:eastAsia="zh-CN"/>
              </w:rPr>
              <w:t>3.1.1</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9</w:t>
            </w:r>
            <w:r>
              <w:rPr>
                <w:rFonts w:hint="eastAsia" w:ascii="宋体" w:hAnsi="宋体" w:cs="宋体"/>
                <w:color w:val="auto"/>
                <w:sz w:val="21"/>
                <w:szCs w:val="21"/>
                <w:highlight w:val="none"/>
                <w:lang w:eastAsia="zh-CN"/>
              </w:rPr>
              <w:t>）</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构成响应文件的其他资料</w:t>
            </w:r>
          </w:p>
        </w:tc>
        <w:tc>
          <w:tcPr>
            <w:tcW w:w="4404" w:type="dxa"/>
            <w:vAlign w:val="center"/>
          </w:tcPr>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供应商自行确定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3.2.3</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最高限价或其计算方法</w:t>
            </w:r>
          </w:p>
        </w:tc>
        <w:tc>
          <w:tcPr>
            <w:tcW w:w="4404" w:type="dxa"/>
            <w:vAlign w:val="center"/>
          </w:tcPr>
          <w:p>
            <w:pPr>
              <w:keepNext/>
              <w:rPr>
                <w:rFonts w:ascii="宋体"/>
                <w:color w:val="auto"/>
                <w:sz w:val="21"/>
                <w:szCs w:val="21"/>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无</w:t>
            </w:r>
          </w:p>
          <w:p>
            <w:pPr>
              <w:keepNext/>
              <w:rPr>
                <w:rFonts w:ascii="宋体" w:cs="宋体"/>
                <w:b/>
                <w:color w:val="auto"/>
                <w:sz w:val="21"/>
                <w:szCs w:val="21"/>
                <w:highlight w:val="none"/>
                <w:u w:val="singl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有，最高限价：</w:t>
            </w:r>
            <w:r>
              <w:rPr>
                <w:rFonts w:hint="eastAsia" w:ascii="宋体" w:hAnsi="宋体" w:cs="宋体"/>
                <w:color w:val="auto"/>
                <w:sz w:val="21"/>
                <w:szCs w:val="21"/>
                <w:highlight w:val="none"/>
                <w:u w:val="single"/>
                <w:lang w:eastAsia="zh-CN"/>
              </w:rPr>
              <w:t>1150949元（含税）</w:t>
            </w:r>
          </w:p>
          <w:p>
            <w:pPr>
              <w:keepNext/>
              <w:rPr>
                <w:rFonts w:ascii="宋体"/>
                <w:b/>
                <w:color w:val="auto"/>
                <w:sz w:val="21"/>
                <w:szCs w:val="21"/>
                <w:highlight w:val="none"/>
                <w:lang w:eastAsia="zh-CN"/>
              </w:rPr>
            </w:pPr>
            <w:r>
              <w:rPr>
                <w:rFonts w:hint="eastAsia" w:ascii="宋体" w:hAnsi="宋体" w:cs="宋体"/>
                <w:b/>
                <w:color w:val="auto"/>
                <w:sz w:val="21"/>
                <w:szCs w:val="21"/>
                <w:highlight w:val="none"/>
                <w:lang w:eastAsia="zh-CN"/>
              </w:rPr>
              <w:t>注：超过最高限价的响应文件将被否决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3.2.4</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报价的其他要求</w:t>
            </w:r>
          </w:p>
        </w:tc>
        <w:tc>
          <w:tcPr>
            <w:tcW w:w="4404" w:type="dxa"/>
            <w:vAlign w:val="center"/>
          </w:tcPr>
          <w:p>
            <w:pPr>
              <w:keepNext/>
              <w:rPr>
                <w:rFonts w:ascii="宋体"/>
                <w:color w:val="auto"/>
                <w:sz w:val="21"/>
                <w:szCs w:val="21"/>
                <w:highlight w:val="none"/>
                <w:u w:val="single"/>
                <w:lang w:eastAsia="zh-CN"/>
              </w:rPr>
            </w:pPr>
            <w:r>
              <w:rPr>
                <w:rFonts w:hint="eastAsia" w:ascii="宋体" w:cs="宋体"/>
                <w:color w:val="auto"/>
                <w:sz w:val="21"/>
                <w:szCs w:val="21"/>
                <w:highlight w:val="none"/>
                <w:u w:val="singl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3.3.1</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响应文件有效期</w:t>
            </w:r>
          </w:p>
        </w:tc>
        <w:tc>
          <w:tcPr>
            <w:tcW w:w="4404" w:type="dxa"/>
            <w:vAlign w:val="center"/>
          </w:tcPr>
          <w:p>
            <w:pPr>
              <w:keepNext/>
              <w:rPr>
                <w:rFonts w:ascii="宋体"/>
                <w:color w:val="auto"/>
                <w:sz w:val="21"/>
                <w:szCs w:val="21"/>
                <w:highlight w:val="none"/>
                <w:u w:val="single"/>
                <w:lang w:eastAsia="zh-CN"/>
              </w:rPr>
            </w:pPr>
            <w:r>
              <w:rPr>
                <w:rFonts w:ascii="宋体" w:hAnsi="宋体" w:cs="宋体"/>
                <w:color w:val="auto"/>
                <w:sz w:val="21"/>
                <w:szCs w:val="21"/>
                <w:highlight w:val="none"/>
                <w:u w:val="single"/>
                <w:lang w:eastAsia="zh-CN"/>
              </w:rPr>
              <w:t>90</w:t>
            </w:r>
            <w:r>
              <w:rPr>
                <w:rFonts w:hint="eastAsia" w:ascii="宋体" w:hAnsi="宋体" w:cs="宋体"/>
                <w:color w:val="auto"/>
                <w:sz w:val="21"/>
                <w:szCs w:val="21"/>
                <w:highlight w:val="none"/>
                <w:u w:val="single"/>
                <w:lang w:eastAsia="zh-CN"/>
              </w:rPr>
              <w:t>日历天（从响应截止之日算起）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3.4.1</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响应保证金</w:t>
            </w:r>
          </w:p>
        </w:tc>
        <w:tc>
          <w:tcPr>
            <w:tcW w:w="4404" w:type="dxa"/>
            <w:vAlign w:val="center"/>
          </w:tcPr>
          <w:p>
            <w:pPr>
              <w:keepNext/>
              <w:rPr>
                <w:rFonts w:ascii="宋体"/>
                <w:color w:val="auto"/>
                <w:sz w:val="21"/>
                <w:szCs w:val="21"/>
                <w:highlight w:val="none"/>
                <w:u w:val="singl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不要求递交</w:t>
            </w:r>
          </w:p>
          <w:p>
            <w:pPr>
              <w:keepNext/>
              <w:rPr>
                <w:rFonts w:ascii="宋体"/>
                <w:color w:val="auto"/>
                <w:sz w:val="21"/>
                <w:szCs w:val="21"/>
                <w:highlight w:val="none"/>
                <w:u w:val="singl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要求递交</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要求递交</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保证金的金额20000元</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保证金的形式：电汇或投标保函</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如采用投标保函形式：投标保函应当是具备合法资质的金融机构开具的银行保函、保证保险，工程担保公司保函。银行开具的免保证金的非融资性的履约保函无效，响应文件中附原件扫描件。</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保证金接收账户信息：</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开户名称：华安项目管理咨询有限公司</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开户账号：</w:t>
            </w:r>
            <w:r>
              <w:rPr>
                <w:rFonts w:ascii="宋体" w:hAnsi="宋体" w:cs="宋体"/>
                <w:color w:val="auto"/>
                <w:sz w:val="21"/>
                <w:szCs w:val="21"/>
                <w:highlight w:val="none"/>
                <w:lang w:eastAsia="zh-CN"/>
              </w:rPr>
              <w:t xml:space="preserve">0906014170002081 </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开户银行：中国民生银行股份有限公司太原亲贤北街支行</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银行行号：</w:t>
            </w:r>
            <w:r>
              <w:rPr>
                <w:rFonts w:ascii="宋体" w:hAnsi="宋体" w:cs="宋体"/>
                <w:color w:val="auto"/>
                <w:sz w:val="21"/>
                <w:szCs w:val="21"/>
                <w:highlight w:val="none"/>
                <w:lang w:eastAsia="zh-CN"/>
              </w:rPr>
              <w:t>305161009063</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联系电话：</w:t>
            </w:r>
            <w:r>
              <w:rPr>
                <w:rFonts w:ascii="宋体" w:hAnsi="宋体" w:cs="宋体"/>
                <w:color w:val="auto"/>
                <w:sz w:val="21"/>
                <w:szCs w:val="21"/>
                <w:highlight w:val="none"/>
                <w:lang w:eastAsia="zh-CN"/>
              </w:rPr>
              <w:t>0351</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2715183</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保证金必须从供应商的账户汇出或转账（否则按无效响应文件处理）。</w:t>
            </w:r>
          </w:p>
          <w:p>
            <w:pPr>
              <w:keepNext/>
              <w:jc w:val="both"/>
              <w:rPr>
                <w:rFonts w:ascii="宋体"/>
                <w:color w:val="auto"/>
                <w:sz w:val="21"/>
                <w:szCs w:val="21"/>
                <w:highlight w:val="none"/>
                <w:lang w:eastAsia="zh-CN"/>
              </w:rPr>
            </w:pPr>
            <w:r>
              <w:rPr>
                <w:rFonts w:hint="eastAsia" w:ascii="宋体" w:hAnsi="宋体" w:cs="宋体"/>
                <w:b/>
                <w:bCs/>
                <w:color w:val="auto"/>
                <w:sz w:val="21"/>
                <w:szCs w:val="21"/>
                <w:highlight w:val="none"/>
                <w:lang w:eastAsia="zh-CN"/>
              </w:rPr>
              <w:t>注</w:t>
            </w:r>
            <w:r>
              <w:rPr>
                <w:rFonts w:ascii="宋体" w:hAnsi="宋体" w:cs="宋体"/>
                <w:b/>
                <w:bCs/>
                <w:color w:val="auto"/>
                <w:sz w:val="21"/>
                <w:szCs w:val="21"/>
                <w:highlight w:val="none"/>
                <w:lang w:eastAsia="zh-CN"/>
              </w:rPr>
              <w:t>:</w:t>
            </w:r>
            <w:r>
              <w:rPr>
                <w:rFonts w:hint="eastAsia" w:ascii="宋体" w:hAnsi="宋体" w:cs="宋体"/>
                <w:b/>
                <w:bCs/>
                <w:color w:val="auto"/>
                <w:sz w:val="21"/>
                <w:szCs w:val="21"/>
                <w:highlight w:val="none"/>
                <w:lang w:eastAsia="zh-CN"/>
              </w:rPr>
              <w:t>请注明项目名称或项目编号（后四位）</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3.4.2</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退还响应保证金的时间</w:t>
            </w:r>
          </w:p>
        </w:tc>
        <w:tc>
          <w:tcPr>
            <w:tcW w:w="4404" w:type="dxa"/>
            <w:vAlign w:val="center"/>
          </w:tcPr>
          <w:p>
            <w:pPr>
              <w:keepNext/>
              <w:ind w:firstLine="420" w:firstLineChars="200"/>
              <w:rPr>
                <w:rFonts w:ascii="宋体"/>
                <w:color w:val="auto"/>
                <w:sz w:val="21"/>
                <w:szCs w:val="21"/>
                <w:highlight w:val="none"/>
                <w:lang w:eastAsia="zh-CN"/>
              </w:rPr>
            </w:pPr>
            <w:r>
              <w:rPr>
                <w:rFonts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color w:val="auto"/>
                <w:sz w:val="21"/>
                <w:szCs w:val="21"/>
                <w:highlight w:val="none"/>
                <w:lang w:eastAsia="zh-CN"/>
              </w:rPr>
              <w:br w:type="page"/>
            </w:r>
            <w:r>
              <w:rPr>
                <w:rFonts w:ascii="宋体" w:hAnsi="宋体" w:cs="宋体"/>
                <w:color w:val="auto"/>
                <w:sz w:val="21"/>
                <w:szCs w:val="21"/>
                <w:highlight w:val="none"/>
                <w:lang w:eastAsia="zh-CN"/>
              </w:rPr>
              <w:t>3.5</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资格审查资料</w:t>
            </w:r>
          </w:p>
        </w:tc>
        <w:tc>
          <w:tcPr>
            <w:tcW w:w="4404" w:type="dxa"/>
            <w:vAlign w:val="center"/>
          </w:tcPr>
          <w:p>
            <w:pPr>
              <w:keepNext/>
              <w:jc w:val="both"/>
              <w:rPr>
                <w:rFonts w:ascii="宋体" w:hAnsi="宋体" w:cs="宋体"/>
                <w:color w:val="auto"/>
                <w:sz w:val="21"/>
                <w:szCs w:val="21"/>
                <w:highlight w:val="none"/>
                <w:lang w:eastAsia="zh-CN"/>
              </w:rPr>
            </w:pPr>
            <w:r>
              <w:rPr>
                <w:rFonts w:ascii="宋体" w:hAnsi="宋体" w:cs="宋体"/>
                <w:color w:val="auto"/>
                <w:sz w:val="21"/>
                <w:szCs w:val="21"/>
                <w:highlight w:val="none"/>
                <w:lang w:eastAsia="zh-CN"/>
              </w:rPr>
              <w:t>1.</w:t>
            </w:r>
            <w:r>
              <w:rPr>
                <w:rFonts w:hint="eastAsia" w:ascii="宋体" w:hAnsi="宋体" w:cs="宋体"/>
                <w:color w:val="auto"/>
                <w:sz w:val="21"/>
                <w:szCs w:val="21"/>
                <w:highlight w:val="none"/>
                <w:lang w:eastAsia="zh-CN"/>
              </w:rPr>
              <w:t>具有独立法人资格，拥有有效的营业执照；</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w:t>
            </w:r>
            <w:r>
              <w:rPr>
                <w:rFonts w:ascii="宋体" w:hAnsi="宋体" w:cs="宋体"/>
                <w:color w:val="auto"/>
                <w:sz w:val="21"/>
                <w:szCs w:val="21"/>
                <w:highlight w:val="none"/>
                <w:lang w:eastAsia="zh-CN"/>
              </w:rPr>
              <w:t>.</w:t>
            </w:r>
            <w:r>
              <w:rPr>
                <w:rFonts w:hint="eastAsia" w:ascii="宋体" w:hAnsi="宋体" w:cs="宋体"/>
                <w:color w:val="auto"/>
                <w:sz w:val="21"/>
                <w:szCs w:val="21"/>
                <w:highlight w:val="none"/>
                <w:lang w:eastAsia="zh-CN"/>
              </w:rPr>
              <w:t>未被信用中国列入失信被执行人名单，未被全国企业信用信息公示系统列入严重违法失信企业名单；</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w:t>
            </w:r>
            <w:r>
              <w:rPr>
                <w:rFonts w:ascii="宋体" w:hAnsi="宋体" w:cs="宋体"/>
                <w:color w:val="auto"/>
                <w:sz w:val="21"/>
                <w:szCs w:val="21"/>
                <w:highlight w:val="none"/>
                <w:lang w:eastAsia="zh-CN"/>
              </w:rPr>
              <w:t>.</w:t>
            </w:r>
            <w:r>
              <w:rPr>
                <w:rFonts w:hint="eastAsia" w:ascii="宋体" w:hAnsi="宋体" w:cs="宋体"/>
                <w:color w:val="auto"/>
                <w:sz w:val="21"/>
                <w:szCs w:val="21"/>
                <w:highlight w:val="none"/>
                <w:lang w:eastAsia="zh-CN"/>
              </w:rPr>
              <w:t>单位负责人为同一人或者存在控股、管理关系的不同单位，不得同时参加本项目；</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4.供应商应是山西省轻工建设有限责任公司2023年设备配件框架协议采购项目入围供应商；</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w:t>
            </w:r>
            <w:r>
              <w:rPr>
                <w:rFonts w:ascii="宋体" w:hAnsi="宋体" w:cs="宋体"/>
                <w:color w:val="auto"/>
                <w:sz w:val="21"/>
                <w:szCs w:val="21"/>
                <w:highlight w:val="none"/>
                <w:lang w:eastAsia="zh-CN"/>
              </w:rPr>
              <w:t>.</w:t>
            </w:r>
            <w:r>
              <w:rPr>
                <w:rFonts w:hint="eastAsia" w:ascii="宋体" w:hAnsi="宋体" w:cs="宋体"/>
                <w:color w:val="auto"/>
                <w:sz w:val="21"/>
                <w:szCs w:val="21"/>
                <w:highlight w:val="none"/>
                <w:lang w:eastAsia="zh-CN"/>
              </w:rPr>
              <w:t>本次采购不接受联合体。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spacing w:line="420" w:lineRule="exac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3.6.1</w:t>
            </w:r>
          </w:p>
        </w:tc>
        <w:tc>
          <w:tcPr>
            <w:tcW w:w="3127" w:type="dxa"/>
            <w:vAlign w:val="center"/>
          </w:tcPr>
          <w:p>
            <w:pPr>
              <w:keepNext/>
              <w:widowControl/>
              <w:spacing w:line="420" w:lineRule="exac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对关键条款进行响应的证据或证明材料要求</w:t>
            </w:r>
          </w:p>
        </w:tc>
        <w:tc>
          <w:tcPr>
            <w:tcW w:w="4404" w:type="dxa"/>
            <w:vAlign w:val="center"/>
          </w:tcPr>
          <w:p>
            <w:pPr>
              <w:keepNext/>
              <w:widowControl/>
              <w:spacing w:line="420" w:lineRule="exact"/>
              <w:jc w:val="both"/>
              <w:rPr>
                <w:rFonts w:ascii="宋体" w:cs="宋体"/>
                <w:color w:val="auto"/>
                <w:sz w:val="21"/>
                <w:szCs w:val="21"/>
                <w:highlight w:val="none"/>
                <w:lang w:eastAsia="zh-CN"/>
              </w:rPr>
            </w:pPr>
            <w:r>
              <w:rPr>
                <w:rFonts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7" w:type="dxa"/>
            <w:vAlign w:val="center"/>
          </w:tcPr>
          <w:p>
            <w:pPr>
              <w:keepNext/>
              <w:jc w:val="center"/>
              <w:rPr>
                <w:rFonts w:ascii="宋体" w:hAnsi="宋体" w:cs="宋体"/>
                <w:color w:val="auto"/>
                <w:sz w:val="21"/>
                <w:szCs w:val="21"/>
                <w:highlight w:val="none"/>
                <w:lang w:eastAsia="zh-CN"/>
              </w:rPr>
            </w:pPr>
            <w:r>
              <w:rPr>
                <w:rFonts w:ascii="宋体" w:hAnsi="宋体" w:cs="宋体"/>
                <w:color w:val="auto"/>
                <w:sz w:val="21"/>
                <w:szCs w:val="21"/>
                <w:highlight w:val="none"/>
                <w:lang w:eastAsia="zh-CN"/>
              </w:rPr>
              <w:t>3.7.5</w:t>
            </w:r>
          </w:p>
        </w:tc>
        <w:tc>
          <w:tcPr>
            <w:tcW w:w="3127" w:type="dxa"/>
            <w:vAlign w:val="center"/>
          </w:tcPr>
          <w:p>
            <w:pPr>
              <w:keepNext/>
              <w:widowControl/>
              <w:spacing w:line="420" w:lineRule="exact"/>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响应文件副本份数及电子版要求</w:t>
            </w:r>
          </w:p>
        </w:tc>
        <w:tc>
          <w:tcPr>
            <w:tcW w:w="4404" w:type="dxa"/>
            <w:vAlign w:val="center"/>
          </w:tcPr>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响应文件正本</w:t>
            </w:r>
            <w:r>
              <w:rPr>
                <w:rFonts w:hint="eastAsia" w:ascii="宋体" w:hAnsi="宋体" w:cs="宋体"/>
                <w:color w:val="auto"/>
                <w:sz w:val="21"/>
                <w:szCs w:val="21"/>
                <w:highlight w:val="none"/>
                <w:u w:val="single"/>
                <w:lang w:eastAsia="zh-CN"/>
              </w:rPr>
              <w:t>1</w:t>
            </w:r>
            <w:r>
              <w:rPr>
                <w:rFonts w:hint="eastAsia" w:ascii="宋体" w:hAnsi="宋体" w:cs="宋体"/>
                <w:color w:val="auto"/>
                <w:sz w:val="21"/>
                <w:szCs w:val="21"/>
                <w:highlight w:val="none"/>
                <w:lang w:eastAsia="zh-CN"/>
              </w:rPr>
              <w:t>份；</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响应文件副本</w:t>
            </w:r>
            <w:r>
              <w:rPr>
                <w:rFonts w:hint="eastAsia" w:ascii="宋体" w:hAnsi="宋体" w:cs="宋体"/>
                <w:color w:val="auto"/>
                <w:sz w:val="21"/>
                <w:szCs w:val="21"/>
                <w:highlight w:val="none"/>
                <w:u w:val="single"/>
                <w:lang w:eastAsia="zh-CN"/>
              </w:rPr>
              <w:t>3</w:t>
            </w:r>
            <w:r>
              <w:rPr>
                <w:rFonts w:hint="eastAsia" w:ascii="宋体" w:hAnsi="宋体" w:cs="宋体"/>
                <w:color w:val="auto"/>
                <w:sz w:val="21"/>
                <w:szCs w:val="21"/>
                <w:highlight w:val="none"/>
                <w:lang w:eastAsia="zh-CN"/>
              </w:rPr>
              <w:t>份；</w:t>
            </w:r>
          </w:p>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是否要求提供电子版响应文件 ：</w:t>
            </w:r>
          </w:p>
          <w:p>
            <w:pPr>
              <w:keepNext/>
              <w:jc w:val="both"/>
              <w:rPr>
                <w:rFonts w:ascii="宋体" w:hAnsi="宋体" w:cs="宋体"/>
                <w:color w:val="auto"/>
                <w:sz w:val="21"/>
                <w:szCs w:val="21"/>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不要求</w:t>
            </w:r>
          </w:p>
          <w:p>
            <w:pPr>
              <w:keepNext/>
              <w:jc w:val="both"/>
              <w:rPr>
                <w:rFonts w:ascii="宋体" w:hAnsi="宋体" w:cs="宋体"/>
                <w:color w:val="auto"/>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要求，提供电子版响应文件的形式：U盘1份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3.7.6</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分册装订要求</w:t>
            </w:r>
          </w:p>
        </w:tc>
        <w:tc>
          <w:tcPr>
            <w:tcW w:w="4404" w:type="dxa"/>
          </w:tcPr>
          <w:p>
            <w:pPr>
              <w:keepNext/>
              <w:rPr>
                <w:rFonts w:ascii="宋体"/>
                <w:color w:val="auto"/>
                <w:sz w:val="21"/>
                <w:szCs w:val="21"/>
                <w:highlight w:val="none"/>
                <w:lang w:eastAsia="zh-CN"/>
              </w:rPr>
            </w:pPr>
            <w:r>
              <w:rPr>
                <w:rFonts w:hint="eastAsia" w:ascii="宋体" w:hAnsi="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4.1.2</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封套上应载明的信息</w:t>
            </w:r>
          </w:p>
        </w:tc>
        <w:tc>
          <w:tcPr>
            <w:tcW w:w="4404" w:type="dxa"/>
          </w:tcPr>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供货商名称：</w:t>
            </w:r>
          </w:p>
          <w:p>
            <w:pPr>
              <w:keepNext/>
              <w:rPr>
                <w:rFonts w:ascii="宋体"/>
                <w:color w:val="auto"/>
                <w:sz w:val="21"/>
                <w:szCs w:val="21"/>
                <w:highlight w:val="none"/>
                <w:u w:val="single"/>
                <w:lang w:eastAsia="zh-CN"/>
              </w:rPr>
            </w:pPr>
            <w:r>
              <w:rPr>
                <w:rFonts w:hint="eastAsia" w:ascii="宋体" w:hAnsi="宋体" w:cs="宋体"/>
                <w:color w:val="auto"/>
                <w:sz w:val="21"/>
                <w:szCs w:val="21"/>
                <w:highlight w:val="none"/>
                <w:u w:val="single"/>
                <w:lang w:eastAsia="zh-CN"/>
              </w:rPr>
              <w:t>（项目名称）</w:t>
            </w:r>
            <w:r>
              <w:rPr>
                <w:rFonts w:hint="eastAsia" w:ascii="宋体" w:hAnsi="宋体" w:cs="宋体"/>
                <w:color w:val="auto"/>
                <w:sz w:val="21"/>
                <w:szCs w:val="21"/>
                <w:highlight w:val="none"/>
                <w:lang w:eastAsia="zh-CN"/>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color w:val="auto"/>
                <w:sz w:val="21"/>
                <w:szCs w:val="21"/>
                <w:highlight w:val="none"/>
                <w:lang w:eastAsia="zh-CN"/>
              </w:rPr>
              <w:br w:type="page"/>
            </w:r>
            <w:r>
              <w:rPr>
                <w:rFonts w:ascii="宋体" w:hAnsi="宋体" w:cs="宋体"/>
                <w:color w:val="auto"/>
                <w:sz w:val="21"/>
                <w:szCs w:val="21"/>
                <w:highlight w:val="none"/>
                <w:lang w:eastAsia="zh-CN"/>
              </w:rPr>
              <w:t>4.2.1</w:t>
            </w:r>
          </w:p>
        </w:tc>
        <w:tc>
          <w:tcPr>
            <w:tcW w:w="3127" w:type="dxa"/>
            <w:vAlign w:val="center"/>
          </w:tcPr>
          <w:p>
            <w:pPr>
              <w:keepNext/>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递交响应文件的截止时间及地点</w:t>
            </w:r>
          </w:p>
        </w:tc>
        <w:tc>
          <w:tcPr>
            <w:tcW w:w="4404" w:type="dxa"/>
            <w:vAlign w:val="center"/>
          </w:tcPr>
          <w:p>
            <w:pPr>
              <w:keepNex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截止时间：</w:t>
            </w:r>
            <w:r>
              <w:rPr>
                <w:rFonts w:hint="eastAsia" w:asciiTheme="minorEastAsia" w:hAnsiTheme="minorEastAsia" w:eastAsiaTheme="minorEastAsia"/>
                <w:bCs/>
                <w:color w:val="auto"/>
                <w:kern w:val="44"/>
                <w:sz w:val="21"/>
                <w:szCs w:val="21"/>
                <w:highlight w:val="none"/>
                <w:lang w:eastAsia="zh-CN"/>
              </w:rPr>
              <w:t>2023年</w:t>
            </w:r>
            <w:r>
              <w:rPr>
                <w:rFonts w:hint="eastAsia" w:asciiTheme="minorEastAsia" w:hAnsiTheme="minorEastAsia" w:eastAsiaTheme="minorEastAsia"/>
                <w:bCs/>
                <w:color w:val="auto"/>
                <w:kern w:val="44"/>
                <w:sz w:val="21"/>
                <w:szCs w:val="21"/>
                <w:highlight w:val="none"/>
                <w:lang w:eastAsia="zh-CN"/>
              </w:rPr>
              <w:t>5月</w:t>
            </w:r>
            <w:r>
              <w:rPr>
                <w:rFonts w:hint="eastAsia" w:asciiTheme="minorEastAsia" w:hAnsiTheme="minorEastAsia" w:eastAsiaTheme="minorEastAsia"/>
                <w:bCs/>
                <w:color w:val="auto"/>
                <w:kern w:val="44"/>
                <w:sz w:val="21"/>
                <w:szCs w:val="21"/>
                <w:highlight w:val="none"/>
                <w:lang w:val="en-US" w:eastAsia="zh-CN"/>
              </w:rPr>
              <w:t>25</w:t>
            </w:r>
            <w:r>
              <w:rPr>
                <w:rFonts w:hint="eastAsia" w:asciiTheme="minorEastAsia" w:hAnsiTheme="minorEastAsia" w:eastAsiaTheme="minorEastAsia"/>
                <w:bCs/>
                <w:color w:val="auto"/>
                <w:kern w:val="44"/>
                <w:sz w:val="21"/>
                <w:szCs w:val="21"/>
                <w:highlight w:val="none"/>
                <w:lang w:eastAsia="zh-CN"/>
              </w:rPr>
              <w:t>日</w:t>
            </w:r>
            <w:r>
              <w:rPr>
                <w:rFonts w:hint="eastAsia" w:asciiTheme="minorEastAsia" w:hAnsiTheme="minorEastAsia" w:eastAsiaTheme="minorEastAsia"/>
                <w:bCs/>
                <w:color w:val="auto"/>
                <w:kern w:val="44"/>
                <w:sz w:val="21"/>
                <w:szCs w:val="21"/>
                <w:highlight w:val="none"/>
                <w:lang w:val="en-US" w:eastAsia="zh-CN"/>
              </w:rPr>
              <w:t>14</w:t>
            </w:r>
            <w:r>
              <w:rPr>
                <w:rFonts w:hint="eastAsia" w:asciiTheme="minorEastAsia" w:hAnsiTheme="minorEastAsia" w:eastAsiaTheme="minorEastAsia"/>
                <w:bCs/>
                <w:color w:val="auto"/>
                <w:kern w:val="44"/>
                <w:sz w:val="21"/>
                <w:szCs w:val="21"/>
                <w:highlight w:val="none"/>
                <w:lang w:eastAsia="zh-CN"/>
              </w:rPr>
              <w:t>时</w:t>
            </w:r>
            <w:r>
              <w:rPr>
                <w:rFonts w:hint="eastAsia" w:asciiTheme="minorEastAsia" w:hAnsiTheme="minorEastAsia" w:eastAsiaTheme="minorEastAsia"/>
                <w:bCs/>
                <w:color w:val="auto"/>
                <w:kern w:val="44"/>
                <w:sz w:val="21"/>
                <w:szCs w:val="21"/>
                <w:highlight w:val="none"/>
                <w:lang w:val="en-US" w:eastAsia="zh-CN"/>
              </w:rPr>
              <w:t>30</w:t>
            </w:r>
            <w:r>
              <w:rPr>
                <w:rFonts w:hint="eastAsia" w:asciiTheme="minorEastAsia" w:hAnsiTheme="minorEastAsia" w:eastAsiaTheme="minorEastAsia"/>
                <w:bCs/>
                <w:color w:val="auto"/>
                <w:kern w:val="44"/>
                <w:sz w:val="21"/>
                <w:szCs w:val="21"/>
                <w:highlight w:val="none"/>
                <w:lang w:eastAsia="zh-CN"/>
              </w:rPr>
              <w:t>分</w:t>
            </w:r>
          </w:p>
          <w:p>
            <w:pPr>
              <w:keepNext/>
              <w:rPr>
                <w:rFonts w:ascii="宋体" w:hAnsi="宋体" w:cs="宋体"/>
                <w:color w:val="auto"/>
                <w:highlight w:val="none"/>
                <w:lang w:eastAsia="zh-CN"/>
              </w:rPr>
            </w:pPr>
            <w:r>
              <w:rPr>
                <w:rFonts w:hint="eastAsia" w:ascii="宋体" w:hAnsi="宋体" w:cs="宋体"/>
                <w:color w:val="auto"/>
                <w:sz w:val="21"/>
                <w:szCs w:val="21"/>
                <w:highlight w:val="none"/>
                <w:lang w:eastAsia="zh-CN"/>
              </w:rPr>
              <w:t>地点：</w:t>
            </w:r>
            <w:r>
              <w:rPr>
                <w:rFonts w:hint="eastAsia" w:ascii="宋体" w:hAnsi="宋体"/>
                <w:snapToGrid w:val="0"/>
                <w:color w:val="auto"/>
                <w:sz w:val="21"/>
                <w:szCs w:val="21"/>
                <w:highlight w:val="none"/>
                <w:lang w:eastAsia="zh-CN"/>
              </w:rPr>
              <w:t>山西省太原市长风街705号和信商座19层会议室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4.2.2</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是否退还响应文件</w:t>
            </w:r>
          </w:p>
        </w:tc>
        <w:tc>
          <w:tcPr>
            <w:tcW w:w="4404" w:type="dxa"/>
          </w:tcPr>
          <w:p>
            <w:pPr>
              <w:keepNext/>
              <w:rPr>
                <w:rFonts w:ascii="宋体"/>
                <w:color w:val="auto"/>
                <w:sz w:val="21"/>
                <w:szCs w:val="21"/>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否</w:t>
            </w:r>
          </w:p>
          <w:p>
            <w:pPr>
              <w:keepNext/>
              <w:rPr>
                <w:rFonts w:ascii="宋体"/>
                <w:color w:val="auto"/>
                <w:sz w:val="21"/>
                <w:szCs w:val="21"/>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4.3.3</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供应商撤回响应文件情况下退还响应保证金的时间</w:t>
            </w:r>
          </w:p>
        </w:tc>
        <w:tc>
          <w:tcPr>
            <w:tcW w:w="4404" w:type="dxa"/>
            <w:vAlign w:val="center"/>
          </w:tcPr>
          <w:p>
            <w:pPr>
              <w:keepNext/>
              <w:ind w:firstLine="420" w:firstLineChars="200"/>
              <w:rPr>
                <w:rFonts w:ascii="宋体"/>
                <w:color w:val="auto"/>
                <w:sz w:val="21"/>
                <w:szCs w:val="21"/>
                <w:highlight w:val="none"/>
                <w:u w:val="single"/>
                <w:lang w:eastAsia="zh-CN"/>
              </w:rPr>
            </w:pPr>
            <w:r>
              <w:rPr>
                <w:rFonts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olor w:val="auto"/>
                <w:sz w:val="21"/>
                <w:szCs w:val="21"/>
                <w:highlight w:val="none"/>
                <w:lang w:eastAsia="zh-CN"/>
              </w:rPr>
            </w:pPr>
            <w:r>
              <w:rPr>
                <w:rFonts w:ascii="宋体" w:hAnsi="宋体" w:cs="宋体"/>
                <w:color w:val="auto"/>
                <w:sz w:val="21"/>
                <w:szCs w:val="21"/>
                <w:highlight w:val="none"/>
                <w:lang w:eastAsia="zh-CN"/>
              </w:rPr>
              <w:t>5.2</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4</w:t>
            </w:r>
            <w:r>
              <w:rPr>
                <w:rFonts w:hint="eastAsia" w:ascii="宋体" w:hAnsi="宋体" w:cs="宋体"/>
                <w:color w:val="auto"/>
                <w:sz w:val="21"/>
                <w:szCs w:val="21"/>
                <w:highlight w:val="none"/>
                <w:lang w:eastAsia="zh-CN"/>
              </w:rPr>
              <w:t>）</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开启程序</w:t>
            </w:r>
          </w:p>
        </w:tc>
        <w:tc>
          <w:tcPr>
            <w:tcW w:w="4404" w:type="dxa"/>
          </w:tcPr>
          <w:p>
            <w:pPr>
              <w:keepNex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开启顺序：递交顺序</w:t>
            </w:r>
          </w:p>
          <w:p>
            <w:pPr>
              <w:keepNext/>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其他应公布的信息：/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6.2.2</w:t>
            </w:r>
          </w:p>
        </w:tc>
        <w:tc>
          <w:tcPr>
            <w:tcW w:w="3127" w:type="dxa"/>
            <w:vAlign w:val="center"/>
          </w:tcPr>
          <w:p>
            <w:pPr>
              <w:keepNext/>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推荐候选成交供应商的数量</w:t>
            </w:r>
          </w:p>
        </w:tc>
        <w:tc>
          <w:tcPr>
            <w:tcW w:w="4404" w:type="dxa"/>
            <w:vAlign w:val="center"/>
          </w:tcPr>
          <w:p>
            <w:pPr>
              <w:keepNext/>
              <w:jc w:val="center"/>
              <w:rPr>
                <w:rFonts w:ascii="宋体" w:hAnsi="宋体" w:cs="宋体"/>
                <w:color w:val="auto"/>
                <w:spacing w:val="4"/>
                <w:highlight w:val="none"/>
                <w:lang w:eastAsia="zh-CN"/>
              </w:rPr>
            </w:pPr>
            <w:r>
              <w:rPr>
                <w:rFonts w:hint="eastAsia" w:ascii="宋体" w:hAnsi="宋体" w:cs="宋体"/>
                <w:color w:val="auto"/>
                <w:sz w:val="21"/>
                <w:szCs w:val="21"/>
                <w:highlight w:val="none"/>
                <w:lang w:eastAsia="zh-CN"/>
              </w:rPr>
              <w:t>3名（有效供应商不足三名时则全部推荐）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17" w:type="dxa"/>
            <w:vAlign w:val="center"/>
          </w:tcPr>
          <w:p>
            <w:pPr>
              <w:keepNext/>
              <w:jc w:val="center"/>
              <w:rPr>
                <w:rFonts w:ascii="宋体" w:cs="宋体"/>
                <w:color w:val="auto"/>
                <w:sz w:val="21"/>
                <w:szCs w:val="21"/>
                <w:highlight w:val="none"/>
                <w:lang w:eastAsia="zh-CN"/>
              </w:rPr>
            </w:pPr>
            <w:r>
              <w:rPr>
                <w:rFonts w:hint="eastAsia" w:ascii="宋体" w:cs="宋体"/>
                <w:color w:val="auto"/>
                <w:sz w:val="21"/>
                <w:szCs w:val="21"/>
                <w:highlight w:val="none"/>
                <w:lang w:eastAsia="zh-CN"/>
              </w:rPr>
              <w:t>7.3</w:t>
            </w:r>
          </w:p>
        </w:tc>
        <w:tc>
          <w:tcPr>
            <w:tcW w:w="3127" w:type="dxa"/>
            <w:vAlign w:val="center"/>
          </w:tcPr>
          <w:p>
            <w:pPr>
              <w:keepNext/>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候选成交供应商公示</w:t>
            </w:r>
          </w:p>
        </w:tc>
        <w:tc>
          <w:tcPr>
            <w:tcW w:w="4404" w:type="dxa"/>
            <w:vAlign w:val="center"/>
          </w:tcPr>
          <w:p>
            <w:pPr>
              <w:keepNex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公示媒介：详见采购公告</w:t>
            </w:r>
          </w:p>
          <w:p>
            <w:pPr>
              <w:keepNex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公示期限：至少3日</w:t>
            </w:r>
          </w:p>
          <w:p>
            <w:pPr>
              <w:keepNext/>
              <w:rPr>
                <w:rFonts w:ascii="宋体" w:hAnsi="宋体" w:cs="宋体"/>
                <w:color w:val="auto"/>
                <w:spacing w:val="4"/>
                <w:highlight w:val="none"/>
                <w:lang w:eastAsia="zh-CN"/>
              </w:rPr>
            </w:pPr>
            <w:r>
              <w:rPr>
                <w:rFonts w:hint="eastAsia" w:ascii="宋体" w:hAnsi="宋体" w:cs="宋体"/>
                <w:color w:val="auto"/>
                <w:sz w:val="21"/>
                <w:szCs w:val="21"/>
                <w:highlight w:val="none"/>
                <w:lang w:eastAsia="zh-CN"/>
              </w:rPr>
              <w:t>其他应公示的内容：/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7.</w:t>
            </w:r>
            <w:r>
              <w:rPr>
                <w:rFonts w:hint="eastAsia" w:ascii="宋体" w:hAnsi="宋体" w:cs="宋体"/>
                <w:color w:val="auto"/>
                <w:sz w:val="21"/>
                <w:szCs w:val="21"/>
                <w:highlight w:val="none"/>
                <w:lang w:eastAsia="zh-CN"/>
              </w:rPr>
              <w:t>5</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发布成交公告</w:t>
            </w:r>
          </w:p>
        </w:tc>
        <w:tc>
          <w:tcPr>
            <w:tcW w:w="4404" w:type="dxa"/>
          </w:tcPr>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公告媒介：</w:t>
            </w:r>
            <w:r>
              <w:rPr>
                <w:rFonts w:hint="eastAsia" w:ascii="宋体" w:hAnsi="宋体" w:cs="宋体"/>
                <w:color w:val="auto"/>
                <w:sz w:val="21"/>
                <w:szCs w:val="21"/>
                <w:highlight w:val="none"/>
                <w:u w:val="single"/>
                <w:lang w:eastAsia="zh-CN"/>
              </w:rPr>
              <w:t>同公告发布媒介</w:t>
            </w:r>
          </w:p>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公示期限：</w:t>
            </w:r>
            <w:r>
              <w:rPr>
                <w:rFonts w:ascii="宋体" w:hAnsi="宋体" w:cs="宋体"/>
                <w:color w:val="auto"/>
                <w:sz w:val="21"/>
                <w:szCs w:val="21"/>
                <w:highlight w:val="none"/>
                <w:u w:val="single"/>
                <w:lang w:eastAsia="zh-CN"/>
              </w:rPr>
              <w:t>1</w:t>
            </w:r>
            <w:r>
              <w:rPr>
                <w:rFonts w:hint="eastAsia" w:ascii="宋体" w:hAnsi="宋体" w:cs="宋体"/>
                <w:color w:val="auto"/>
                <w:sz w:val="21"/>
                <w:szCs w:val="21"/>
                <w:highlight w:val="none"/>
                <w:u w:val="single"/>
                <w:lang w:eastAsia="zh-CN"/>
              </w:rPr>
              <w:t>天</w:t>
            </w:r>
          </w:p>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其他应公告的内容：无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7.6</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履约保证金</w:t>
            </w:r>
          </w:p>
        </w:tc>
        <w:tc>
          <w:tcPr>
            <w:tcW w:w="4404" w:type="dxa"/>
          </w:tcPr>
          <w:p>
            <w:pPr>
              <w:keepNext/>
              <w:rPr>
                <w:rFonts w:ascii="宋体"/>
                <w:color w:val="auto"/>
                <w:sz w:val="21"/>
                <w:szCs w:val="21"/>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不要求递交</w:t>
            </w:r>
          </w:p>
          <w:p>
            <w:pPr>
              <w:keepNext/>
              <w:rPr>
                <w:rFonts w:ascii="宋体"/>
                <w:color w:val="auto"/>
                <w:sz w:val="21"/>
                <w:szCs w:val="21"/>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要求递交</w:t>
            </w:r>
          </w:p>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履约保证金金额：</w:t>
            </w:r>
          </w:p>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履约保证金形式：银行保函、现金或汇票</w:t>
            </w:r>
          </w:p>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递交时间：</w:t>
            </w:r>
            <w:r>
              <w:rPr>
                <w:rFonts w:hint="eastAsia" w:ascii="宋体" w:hAnsi="宋体" w:cs="宋体"/>
                <w:color w:val="auto"/>
                <w:sz w:val="21"/>
                <w:szCs w:val="21"/>
                <w:highlight w:val="none"/>
                <w:u w:val="single"/>
                <w:lang w:eastAsia="zh-CN"/>
              </w:rPr>
              <w:t>成交通知书发出后</w:t>
            </w:r>
            <w:r>
              <w:rPr>
                <w:rFonts w:ascii="宋体" w:hAnsi="宋体" w:cs="宋体"/>
                <w:color w:val="auto"/>
                <w:sz w:val="21"/>
                <w:szCs w:val="21"/>
                <w:highlight w:val="none"/>
                <w:u w:val="single"/>
                <w:lang w:eastAsia="zh-CN"/>
              </w:rPr>
              <w:t>10</w:t>
            </w:r>
            <w:r>
              <w:rPr>
                <w:rFonts w:hint="eastAsia" w:ascii="宋体" w:hAnsi="宋体" w:cs="宋体"/>
                <w:color w:val="auto"/>
                <w:sz w:val="21"/>
                <w:szCs w:val="21"/>
                <w:highlight w:val="none"/>
                <w:u w:val="single"/>
                <w:lang w:eastAsia="zh-CN"/>
              </w:rPr>
              <w:t>日内递交。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8.1</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异议渠道</w:t>
            </w:r>
          </w:p>
        </w:tc>
        <w:tc>
          <w:tcPr>
            <w:tcW w:w="4404" w:type="dxa"/>
          </w:tcPr>
          <w:p>
            <w:pPr>
              <w:keepNex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联系人：郝伟、陈波</w:t>
            </w:r>
          </w:p>
          <w:p>
            <w:pPr>
              <w:keepNex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联系电话：0351-2715187</w:t>
            </w:r>
          </w:p>
          <w:p>
            <w:pPr>
              <w:keepNex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通讯地址：山西省太原市长风街</w:t>
            </w:r>
            <w:r>
              <w:rPr>
                <w:rFonts w:ascii="宋体" w:hAnsi="宋体" w:cs="宋体"/>
                <w:color w:val="auto"/>
                <w:sz w:val="21"/>
                <w:szCs w:val="21"/>
                <w:highlight w:val="none"/>
                <w:lang w:eastAsia="zh-CN"/>
              </w:rPr>
              <w:t>705</w:t>
            </w:r>
            <w:r>
              <w:rPr>
                <w:rFonts w:hint="eastAsia" w:ascii="宋体" w:hAnsi="宋体" w:cs="宋体"/>
                <w:color w:val="auto"/>
                <w:sz w:val="21"/>
                <w:szCs w:val="21"/>
                <w:highlight w:val="none"/>
                <w:lang w:eastAsia="zh-CN"/>
              </w:rPr>
              <w:t>号和信商座</w:t>
            </w:r>
            <w:r>
              <w:rPr>
                <w:rFonts w:ascii="宋体" w:hAnsi="宋体" w:cs="宋体"/>
                <w:color w:val="auto"/>
                <w:sz w:val="21"/>
                <w:szCs w:val="21"/>
                <w:highlight w:val="none"/>
                <w:lang w:eastAsia="zh-CN"/>
              </w:rPr>
              <w:t>19</w:t>
            </w:r>
            <w:r>
              <w:rPr>
                <w:rFonts w:hint="eastAsia" w:ascii="宋体" w:hAnsi="宋体" w:cs="宋体"/>
                <w:color w:val="auto"/>
                <w:sz w:val="21"/>
                <w:szCs w:val="21"/>
                <w:highlight w:val="none"/>
                <w:lang w:eastAsia="zh-CN"/>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10.1</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采购代理服务费</w:t>
            </w:r>
          </w:p>
        </w:tc>
        <w:tc>
          <w:tcPr>
            <w:tcW w:w="4404" w:type="dxa"/>
          </w:tcPr>
          <w:p>
            <w:pPr>
              <w:keepNext/>
              <w:rPr>
                <w:rFonts w:ascii="宋体"/>
                <w:color w:val="auto"/>
                <w:sz w:val="21"/>
                <w:szCs w:val="21"/>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不要求承担</w:t>
            </w:r>
          </w:p>
          <w:p>
            <w:pPr>
              <w:keepNext/>
              <w:rPr>
                <w:rFonts w:ascii="宋体"/>
                <w:color w:val="auto"/>
                <w:sz w:val="21"/>
                <w:szCs w:val="21"/>
                <w:highlight w:val="none"/>
                <w:lang w:eastAsia="zh-CN"/>
              </w:rPr>
            </w:pPr>
            <w:r>
              <w:rPr>
                <w:rFonts w:hint="eastAsia" w:ascii="宋体" w:hAnsi="Wingdings"/>
                <w:color w:val="auto"/>
                <w:sz w:val="21"/>
                <w:szCs w:val="20"/>
                <w:highlight w:val="none"/>
                <w:lang w:eastAsia="zh-CN"/>
              </w:rPr>
              <w:t>■</w:t>
            </w:r>
            <w:r>
              <w:rPr>
                <w:rFonts w:hint="eastAsia" w:ascii="宋体" w:hAnsi="宋体" w:cs="宋体"/>
                <w:color w:val="auto"/>
                <w:sz w:val="21"/>
                <w:szCs w:val="21"/>
                <w:highlight w:val="none"/>
                <w:lang w:eastAsia="zh-CN"/>
              </w:rPr>
              <w:t>要求承担</w:t>
            </w:r>
          </w:p>
          <w:p>
            <w:pPr>
              <w:keepNext/>
              <w:ind w:firstLine="420" w:firstLineChars="200"/>
              <w:rPr>
                <w:rFonts w:ascii="宋体"/>
                <w:color w:val="auto"/>
                <w:sz w:val="21"/>
                <w:szCs w:val="21"/>
                <w:highlight w:val="none"/>
                <w:u w:val="single"/>
                <w:lang w:eastAsia="zh-CN"/>
              </w:rPr>
            </w:pPr>
            <w:r>
              <w:rPr>
                <w:rFonts w:hint="eastAsia" w:ascii="宋体" w:cs="宋体"/>
                <w:color w:val="auto"/>
                <w:sz w:val="21"/>
                <w:szCs w:val="21"/>
                <w:highlight w:val="none"/>
                <w:lang w:eastAsia="zh-CN"/>
              </w:rPr>
              <w:t>采购代理服务费</w:t>
            </w:r>
            <w:r>
              <w:rPr>
                <w:rFonts w:hint="eastAsia" w:ascii="宋体" w:hAnsi="宋体" w:cs="宋体"/>
                <w:color w:val="auto"/>
                <w:sz w:val="21"/>
                <w:szCs w:val="21"/>
                <w:highlight w:val="none"/>
                <w:lang w:eastAsia="zh-CN"/>
              </w:rPr>
              <w:t>：本次采购由成交人支付采购代理服务费，成交人在领取成交通知书的同时，需向采购代理机构支付采购代理服务费。采购代理服务费收费标准按发改价格【</w:t>
            </w:r>
            <w:r>
              <w:rPr>
                <w:rFonts w:ascii="宋体" w:hAnsi="宋体" w:cs="宋体"/>
                <w:color w:val="auto"/>
                <w:sz w:val="21"/>
                <w:szCs w:val="21"/>
                <w:highlight w:val="none"/>
                <w:lang w:eastAsia="zh-CN"/>
              </w:rPr>
              <w:t>2011</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534</w:t>
            </w:r>
            <w:r>
              <w:rPr>
                <w:rFonts w:hint="eastAsia" w:ascii="宋体" w:hAnsi="宋体" w:cs="宋体"/>
                <w:color w:val="auto"/>
                <w:sz w:val="21"/>
                <w:szCs w:val="21"/>
                <w:highlight w:val="none"/>
                <w:lang w:eastAsia="zh-CN"/>
              </w:rPr>
              <w:t>号、发改办价格【</w:t>
            </w:r>
            <w:r>
              <w:rPr>
                <w:rFonts w:ascii="宋体" w:hAnsi="宋体" w:cs="宋体"/>
                <w:color w:val="auto"/>
                <w:sz w:val="21"/>
                <w:szCs w:val="21"/>
                <w:highlight w:val="none"/>
                <w:lang w:eastAsia="zh-CN"/>
              </w:rPr>
              <w:t>2003</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857</w:t>
            </w:r>
            <w:r>
              <w:rPr>
                <w:rFonts w:hint="eastAsia" w:ascii="宋体" w:hAnsi="宋体" w:cs="宋体"/>
                <w:color w:val="auto"/>
                <w:sz w:val="21"/>
                <w:szCs w:val="21"/>
                <w:highlight w:val="none"/>
                <w:lang w:eastAsia="zh-CN"/>
              </w:rPr>
              <w:t>号、计价格【</w:t>
            </w:r>
            <w:r>
              <w:rPr>
                <w:rFonts w:ascii="宋体" w:hAnsi="宋体" w:cs="宋体"/>
                <w:color w:val="auto"/>
                <w:sz w:val="21"/>
                <w:szCs w:val="21"/>
                <w:highlight w:val="none"/>
                <w:lang w:eastAsia="zh-CN"/>
              </w:rPr>
              <w:t>2002</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1980</w:t>
            </w:r>
            <w:r>
              <w:rPr>
                <w:rFonts w:hint="eastAsia" w:ascii="宋体" w:hAnsi="宋体" w:cs="宋体"/>
                <w:color w:val="auto"/>
                <w:sz w:val="21"/>
                <w:szCs w:val="21"/>
                <w:highlight w:val="none"/>
                <w:lang w:eastAsia="zh-CN"/>
              </w:rPr>
              <w:t>号文件80%计取。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17"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10.2</w:t>
            </w:r>
          </w:p>
        </w:tc>
        <w:tc>
          <w:tcPr>
            <w:tcW w:w="312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需要补充的其他内容</w:t>
            </w:r>
          </w:p>
        </w:tc>
        <w:tc>
          <w:tcPr>
            <w:tcW w:w="4404" w:type="dxa"/>
            <w:vAlign w:val="center"/>
          </w:tcPr>
          <w:p>
            <w:pPr>
              <w:keepNext/>
              <w:ind w:firstLine="420" w:firstLineChars="200"/>
              <w:jc w:val="both"/>
              <w:rPr>
                <w:rFonts w:ascii="宋体"/>
                <w:color w:val="auto"/>
                <w:sz w:val="21"/>
                <w:szCs w:val="21"/>
                <w:highlight w:val="none"/>
                <w:u w:val="single"/>
                <w:lang w:eastAsia="zh-CN"/>
              </w:rPr>
            </w:pPr>
            <w:r>
              <w:rPr>
                <w:rFonts w:hint="eastAsia" w:ascii="宋体" w:hAnsi="宋体" w:cs="宋体"/>
                <w:color w:val="auto"/>
                <w:sz w:val="21"/>
                <w:szCs w:val="21"/>
                <w:highlight w:val="none"/>
                <w:u w:val="single"/>
                <w:lang w:eastAsia="zh-CN"/>
              </w:rPr>
              <w:t>无</w:t>
            </w:r>
          </w:p>
        </w:tc>
      </w:tr>
    </w:tbl>
    <w:p>
      <w:pPr>
        <w:keepNext/>
        <w:spacing w:line="360" w:lineRule="auto"/>
        <w:ind w:firstLine="40" w:firstLineChars="200"/>
        <w:rPr>
          <w:rFonts w:ascii="宋体"/>
          <w:color w:val="auto"/>
          <w:sz w:val="2"/>
          <w:szCs w:val="2"/>
          <w:highlight w:val="none"/>
        </w:rPr>
      </w:pPr>
    </w:p>
    <w:p>
      <w:pPr>
        <w:keepNext/>
        <w:spacing w:line="360" w:lineRule="auto"/>
        <w:ind w:firstLine="480" w:firstLineChars="200"/>
        <w:rPr>
          <w:rFonts w:ascii="宋体"/>
          <w:color w:val="auto"/>
          <w:sz w:val="2"/>
          <w:szCs w:val="2"/>
          <w:highlight w:val="none"/>
        </w:rPr>
      </w:pPr>
      <w:r>
        <w:rPr>
          <w:rFonts w:ascii="宋体"/>
          <w:color w:val="auto"/>
          <w:highlight w:val="none"/>
        </w:rPr>
        <w:br w:type="page"/>
      </w:r>
    </w:p>
    <w:p>
      <w:pPr>
        <w:pStyle w:val="4"/>
        <w:keepLines w:val="0"/>
        <w:spacing w:before="0" w:after="0" w:line="360" w:lineRule="auto"/>
        <w:ind w:firstLine="422" w:firstLineChars="200"/>
        <w:rPr>
          <w:rFonts w:ascii="宋体"/>
          <w:color w:val="auto"/>
          <w:sz w:val="21"/>
          <w:szCs w:val="21"/>
          <w:highlight w:val="none"/>
        </w:rPr>
      </w:pPr>
      <w:bookmarkStart w:id="31" w:name="bookmark262"/>
      <w:bookmarkStart w:id="32" w:name="bookmark260"/>
      <w:bookmarkStart w:id="33" w:name="bookmark261"/>
      <w:bookmarkStart w:id="34" w:name="_Toc15718"/>
      <w:bookmarkStart w:id="35" w:name="_Toc79479580"/>
      <w:bookmarkStart w:id="36" w:name="_Toc16141"/>
      <w:r>
        <w:rPr>
          <w:rFonts w:ascii="宋体" w:hAnsi="宋体" w:cs="宋体"/>
          <w:color w:val="auto"/>
          <w:sz w:val="21"/>
          <w:szCs w:val="21"/>
          <w:highlight w:val="none"/>
        </w:rPr>
        <w:t>1</w:t>
      </w:r>
      <w:r>
        <w:rPr>
          <w:rFonts w:hint="eastAsia" w:ascii="宋体" w:hAnsi="宋体" w:cs="宋体"/>
          <w:color w:val="auto"/>
          <w:sz w:val="21"/>
          <w:szCs w:val="21"/>
          <w:highlight w:val="none"/>
        </w:rPr>
        <w:t>总则</w:t>
      </w:r>
      <w:bookmarkEnd w:id="31"/>
      <w:bookmarkEnd w:id="32"/>
      <w:bookmarkEnd w:id="33"/>
      <w:bookmarkEnd w:id="34"/>
      <w:bookmarkEnd w:id="35"/>
      <w:bookmarkEnd w:id="36"/>
    </w:p>
    <w:p>
      <w:pPr>
        <w:pStyle w:val="5"/>
        <w:keepLines w:val="0"/>
        <w:spacing w:before="0" w:after="0" w:line="360" w:lineRule="auto"/>
        <w:ind w:firstLine="422" w:firstLineChars="200"/>
        <w:rPr>
          <w:rFonts w:ascii="宋体"/>
          <w:color w:val="auto"/>
          <w:sz w:val="21"/>
          <w:szCs w:val="21"/>
          <w:highlight w:val="none"/>
        </w:rPr>
      </w:pPr>
      <w:bookmarkStart w:id="37" w:name="bookmark264"/>
      <w:bookmarkStart w:id="38" w:name="_Toc15735"/>
      <w:bookmarkStart w:id="39" w:name="_Toc2236"/>
      <w:bookmarkStart w:id="40" w:name="_Toc79479581"/>
      <w:bookmarkStart w:id="41" w:name="bookmark263"/>
      <w:bookmarkStart w:id="42" w:name="bookmark265"/>
      <w:r>
        <w:rPr>
          <w:rFonts w:ascii="宋体" w:hAnsi="宋体" w:cs="宋体"/>
          <w:color w:val="auto"/>
          <w:sz w:val="21"/>
          <w:szCs w:val="21"/>
          <w:highlight w:val="none"/>
        </w:rPr>
        <w:t>1.1</w:t>
      </w:r>
      <w:r>
        <w:rPr>
          <w:rFonts w:hint="eastAsia" w:ascii="宋体" w:hAnsi="宋体" w:cs="宋体"/>
          <w:color w:val="auto"/>
          <w:sz w:val="21"/>
          <w:szCs w:val="21"/>
          <w:highlight w:val="none"/>
        </w:rPr>
        <w:t>采购方式</w:t>
      </w:r>
      <w:bookmarkEnd w:id="37"/>
      <w:bookmarkEnd w:id="38"/>
      <w:bookmarkEnd w:id="39"/>
      <w:bookmarkEnd w:id="40"/>
      <w:bookmarkEnd w:id="41"/>
      <w:bookmarkEnd w:id="42"/>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本项目采用中国招标投标协会发布的《非招标方式采购代理服务规范》</w:t>
      </w:r>
      <w:r>
        <w:rPr>
          <w:color w:val="auto"/>
          <w:sz w:val="21"/>
          <w:szCs w:val="21"/>
          <w:highlight w:val="none"/>
          <w:lang w:val="en-US" w:eastAsia="zh-CN"/>
        </w:rPr>
        <w:t>(T/CTBA001—2019)</w:t>
      </w:r>
      <w:r>
        <w:rPr>
          <w:rFonts w:hint="eastAsia"/>
          <w:color w:val="auto"/>
          <w:sz w:val="21"/>
          <w:szCs w:val="21"/>
          <w:highlight w:val="none"/>
        </w:rPr>
        <w:t>规定的</w:t>
      </w:r>
      <w:r>
        <w:rPr>
          <w:rFonts w:hint="eastAsia"/>
          <w:color w:val="auto"/>
          <w:sz w:val="21"/>
          <w:szCs w:val="21"/>
          <w:highlight w:val="none"/>
          <w:lang w:eastAsia="zh-CN"/>
        </w:rPr>
        <w:t>询比</w:t>
      </w:r>
      <w:r>
        <w:rPr>
          <w:rFonts w:hint="eastAsia"/>
          <w:color w:val="auto"/>
          <w:sz w:val="21"/>
          <w:szCs w:val="21"/>
          <w:highlight w:val="none"/>
        </w:rPr>
        <w:t>釆购方式。</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询比</w:t>
      </w:r>
      <w:r>
        <w:rPr>
          <w:rFonts w:hint="eastAsia"/>
          <w:color w:val="auto"/>
          <w:sz w:val="21"/>
          <w:szCs w:val="21"/>
          <w:highlight w:val="none"/>
        </w:rPr>
        <w:t>采购是指采购人组建</w:t>
      </w:r>
      <w:r>
        <w:rPr>
          <w:rFonts w:hint="eastAsia"/>
          <w:color w:val="auto"/>
          <w:sz w:val="21"/>
          <w:szCs w:val="21"/>
          <w:highlight w:val="none"/>
          <w:lang w:eastAsia="zh-CN"/>
        </w:rPr>
        <w:t>评审</w:t>
      </w:r>
      <w:r>
        <w:rPr>
          <w:rFonts w:hint="eastAsia"/>
          <w:color w:val="auto"/>
          <w:sz w:val="21"/>
          <w:szCs w:val="21"/>
          <w:highlight w:val="none"/>
        </w:rPr>
        <w:t>小组与响应采购的供应商</w:t>
      </w:r>
      <w:r>
        <w:rPr>
          <w:rFonts w:hint="eastAsia"/>
          <w:color w:val="auto"/>
          <w:sz w:val="21"/>
          <w:szCs w:val="21"/>
          <w:highlight w:val="none"/>
          <w:lang w:eastAsia="zh-CN"/>
        </w:rPr>
        <w:t>按照采购文件规定的规则和时间一次递交的</w:t>
      </w:r>
      <w:r>
        <w:rPr>
          <w:rFonts w:hint="eastAsia"/>
          <w:color w:val="auto"/>
          <w:sz w:val="21"/>
          <w:szCs w:val="21"/>
          <w:highlight w:val="none"/>
        </w:rPr>
        <w:t>响应文件进行评审，采购人根据</w:t>
      </w:r>
      <w:r>
        <w:rPr>
          <w:rFonts w:hint="eastAsia"/>
          <w:color w:val="auto"/>
          <w:sz w:val="21"/>
          <w:szCs w:val="21"/>
          <w:highlight w:val="none"/>
          <w:lang w:eastAsia="zh-CN"/>
        </w:rPr>
        <w:t>评审</w:t>
      </w:r>
      <w:r>
        <w:rPr>
          <w:rFonts w:hint="eastAsia"/>
          <w:color w:val="auto"/>
          <w:sz w:val="21"/>
          <w:szCs w:val="21"/>
          <w:highlight w:val="none"/>
        </w:rPr>
        <w:t>小组</w:t>
      </w:r>
      <w:r>
        <w:rPr>
          <w:rFonts w:hint="eastAsia"/>
          <w:color w:val="auto"/>
          <w:sz w:val="21"/>
          <w:szCs w:val="21"/>
          <w:highlight w:val="none"/>
          <w:lang w:eastAsia="zh-CN"/>
        </w:rPr>
        <w:t>的评审结果，</w:t>
      </w:r>
      <w:r>
        <w:rPr>
          <w:rFonts w:hint="eastAsia"/>
          <w:color w:val="auto"/>
          <w:sz w:val="21"/>
          <w:szCs w:val="21"/>
          <w:highlight w:val="none"/>
        </w:rPr>
        <w:t>选择确定成交供应商的釆购方式。</w:t>
      </w:r>
    </w:p>
    <w:p>
      <w:pPr>
        <w:pStyle w:val="5"/>
        <w:keepLines w:val="0"/>
        <w:spacing w:before="0" w:after="0" w:line="360" w:lineRule="auto"/>
        <w:ind w:firstLine="422" w:firstLineChars="200"/>
        <w:rPr>
          <w:rFonts w:ascii="宋体"/>
          <w:color w:val="auto"/>
          <w:sz w:val="21"/>
          <w:szCs w:val="21"/>
          <w:highlight w:val="none"/>
          <w:lang w:eastAsia="zh-CN"/>
        </w:rPr>
      </w:pPr>
      <w:bookmarkStart w:id="43" w:name="bookmark267"/>
      <w:bookmarkStart w:id="44" w:name="_Toc79479582"/>
      <w:bookmarkStart w:id="45" w:name="_Toc25580"/>
      <w:bookmarkStart w:id="46" w:name="_Toc11082"/>
      <w:bookmarkStart w:id="47" w:name="bookmark268"/>
      <w:bookmarkStart w:id="48" w:name="bookmark266"/>
      <w:r>
        <w:rPr>
          <w:rFonts w:ascii="宋体" w:hAnsi="宋体" w:cs="宋体"/>
          <w:color w:val="auto"/>
          <w:sz w:val="21"/>
          <w:szCs w:val="21"/>
          <w:highlight w:val="none"/>
          <w:lang w:eastAsia="zh-CN"/>
        </w:rPr>
        <w:t xml:space="preserve">1.2 </w:t>
      </w:r>
      <w:r>
        <w:rPr>
          <w:rFonts w:hint="eastAsia" w:ascii="宋体" w:hAnsi="宋体" w:cs="宋体"/>
          <w:color w:val="auto"/>
          <w:sz w:val="21"/>
          <w:szCs w:val="21"/>
          <w:highlight w:val="none"/>
          <w:lang w:eastAsia="zh-CN"/>
        </w:rPr>
        <w:t>采购项目概况和供应商资格要求</w:t>
      </w:r>
      <w:bookmarkEnd w:id="43"/>
      <w:bookmarkEnd w:id="44"/>
      <w:bookmarkEnd w:id="45"/>
      <w:bookmarkEnd w:id="46"/>
      <w:bookmarkEnd w:id="47"/>
      <w:bookmarkEnd w:id="48"/>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釆购项目概况和供应商资格要求见第一章</w:t>
      </w:r>
      <w:r>
        <w:rPr>
          <w:rFonts w:hint="eastAsia"/>
          <w:color w:val="auto"/>
          <w:sz w:val="21"/>
          <w:szCs w:val="21"/>
          <w:highlight w:val="none"/>
          <w:lang w:val="zh-CN" w:eastAsia="zh-CN"/>
        </w:rPr>
        <w:t>“询比</w:t>
      </w:r>
      <w:r>
        <w:rPr>
          <w:rFonts w:hint="eastAsia"/>
          <w:color w:val="auto"/>
          <w:sz w:val="21"/>
          <w:szCs w:val="21"/>
          <w:highlight w:val="none"/>
        </w:rPr>
        <w:t>采购公告。”</w:t>
      </w:r>
    </w:p>
    <w:p>
      <w:pPr>
        <w:pStyle w:val="5"/>
        <w:keepLines w:val="0"/>
        <w:spacing w:before="0" w:after="0" w:line="360" w:lineRule="auto"/>
        <w:ind w:firstLine="422" w:firstLineChars="200"/>
        <w:rPr>
          <w:rFonts w:ascii="宋体"/>
          <w:color w:val="auto"/>
          <w:sz w:val="21"/>
          <w:szCs w:val="21"/>
          <w:highlight w:val="none"/>
          <w:lang w:eastAsia="zh-CN"/>
        </w:rPr>
      </w:pPr>
      <w:bookmarkStart w:id="49" w:name="_Toc31522"/>
      <w:bookmarkStart w:id="50" w:name="_Toc79479583"/>
      <w:bookmarkStart w:id="51" w:name="_Toc16679"/>
      <w:bookmarkStart w:id="52" w:name="bookmark269"/>
      <w:bookmarkStart w:id="53" w:name="bookmark270"/>
      <w:bookmarkStart w:id="54" w:name="bookmark271"/>
      <w:r>
        <w:rPr>
          <w:rFonts w:ascii="宋体" w:hAnsi="宋体" w:cs="宋体"/>
          <w:color w:val="auto"/>
          <w:sz w:val="21"/>
          <w:szCs w:val="21"/>
          <w:highlight w:val="none"/>
          <w:lang w:eastAsia="zh-CN"/>
        </w:rPr>
        <w:t xml:space="preserve">1.3 </w:t>
      </w:r>
      <w:r>
        <w:rPr>
          <w:rFonts w:hint="eastAsia" w:ascii="宋体" w:hAnsi="宋体" w:cs="宋体"/>
          <w:color w:val="auto"/>
          <w:sz w:val="21"/>
          <w:szCs w:val="21"/>
          <w:highlight w:val="none"/>
          <w:lang w:eastAsia="zh-CN"/>
        </w:rPr>
        <w:t>费用承担</w:t>
      </w:r>
      <w:bookmarkEnd w:id="49"/>
      <w:bookmarkEnd w:id="50"/>
      <w:bookmarkEnd w:id="51"/>
      <w:bookmarkEnd w:id="52"/>
      <w:bookmarkEnd w:id="53"/>
      <w:bookmarkEnd w:id="54"/>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供应商准备和参加</w:t>
      </w:r>
      <w:r>
        <w:rPr>
          <w:rFonts w:hint="eastAsia"/>
          <w:color w:val="auto"/>
          <w:sz w:val="21"/>
          <w:szCs w:val="21"/>
          <w:highlight w:val="none"/>
          <w:lang w:eastAsia="zh-CN"/>
        </w:rPr>
        <w:t>询比</w:t>
      </w:r>
      <w:r>
        <w:rPr>
          <w:rFonts w:hint="eastAsia"/>
          <w:color w:val="auto"/>
          <w:sz w:val="21"/>
          <w:szCs w:val="21"/>
          <w:highlight w:val="none"/>
        </w:rPr>
        <w:t>釆购活动所发生的各种费用由供应商自行承担。</w:t>
      </w:r>
    </w:p>
    <w:p>
      <w:pPr>
        <w:pStyle w:val="5"/>
        <w:keepLines w:val="0"/>
        <w:spacing w:before="0" w:after="0" w:line="360" w:lineRule="auto"/>
        <w:ind w:firstLine="422" w:firstLineChars="200"/>
        <w:rPr>
          <w:rFonts w:ascii="宋体"/>
          <w:color w:val="auto"/>
          <w:sz w:val="21"/>
          <w:szCs w:val="21"/>
          <w:highlight w:val="none"/>
          <w:lang w:eastAsia="zh-CN"/>
        </w:rPr>
      </w:pPr>
      <w:bookmarkStart w:id="55" w:name="bookmark273"/>
      <w:bookmarkStart w:id="56" w:name="bookmark272"/>
      <w:bookmarkStart w:id="57" w:name="_Toc22163"/>
      <w:bookmarkStart w:id="58" w:name="_Toc79479584"/>
      <w:bookmarkStart w:id="59" w:name="_Toc21894"/>
      <w:bookmarkStart w:id="60" w:name="bookmark274"/>
      <w:r>
        <w:rPr>
          <w:rFonts w:ascii="宋体" w:hAnsi="宋体" w:cs="宋体"/>
          <w:color w:val="auto"/>
          <w:sz w:val="21"/>
          <w:szCs w:val="21"/>
          <w:highlight w:val="none"/>
          <w:lang w:eastAsia="zh-CN"/>
        </w:rPr>
        <w:t xml:space="preserve">1.4 </w:t>
      </w:r>
      <w:r>
        <w:rPr>
          <w:rFonts w:hint="eastAsia" w:ascii="宋体" w:hAnsi="宋体" w:cs="宋体"/>
          <w:color w:val="auto"/>
          <w:sz w:val="21"/>
          <w:szCs w:val="21"/>
          <w:highlight w:val="none"/>
          <w:lang w:eastAsia="zh-CN"/>
        </w:rPr>
        <w:t>保密</w:t>
      </w:r>
      <w:bookmarkEnd w:id="55"/>
      <w:bookmarkEnd w:id="56"/>
      <w:bookmarkEnd w:id="57"/>
      <w:bookmarkEnd w:id="58"/>
      <w:bookmarkEnd w:id="59"/>
      <w:bookmarkEnd w:id="60"/>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参加</w:t>
      </w:r>
      <w:r>
        <w:rPr>
          <w:rFonts w:hint="eastAsia"/>
          <w:color w:val="auto"/>
          <w:sz w:val="21"/>
          <w:szCs w:val="21"/>
          <w:highlight w:val="none"/>
          <w:lang w:eastAsia="zh-CN"/>
        </w:rPr>
        <w:t>询比</w:t>
      </w:r>
      <w:r>
        <w:rPr>
          <w:rFonts w:hint="eastAsia"/>
          <w:color w:val="auto"/>
          <w:sz w:val="21"/>
          <w:szCs w:val="21"/>
          <w:highlight w:val="none"/>
        </w:rPr>
        <w:t>采购活动的各方应对采购文件和响应文件中的商业和技术等秘密保密</w:t>
      </w:r>
      <w:r>
        <w:rPr>
          <w:color w:val="auto"/>
          <w:sz w:val="21"/>
          <w:szCs w:val="21"/>
          <w:highlight w:val="none"/>
        </w:rPr>
        <w:t>,</w:t>
      </w:r>
      <w:r>
        <w:rPr>
          <w:rFonts w:hint="eastAsia"/>
          <w:color w:val="auto"/>
          <w:sz w:val="21"/>
          <w:szCs w:val="21"/>
          <w:highlight w:val="none"/>
        </w:rPr>
        <w:t>否则应承担相应的法律责任。</w:t>
      </w:r>
    </w:p>
    <w:p>
      <w:pPr>
        <w:pStyle w:val="5"/>
        <w:keepLines w:val="0"/>
        <w:spacing w:before="0" w:after="0" w:line="360" w:lineRule="auto"/>
        <w:ind w:firstLine="422" w:firstLineChars="200"/>
        <w:rPr>
          <w:rFonts w:ascii="宋体"/>
          <w:color w:val="auto"/>
          <w:sz w:val="21"/>
          <w:szCs w:val="21"/>
          <w:highlight w:val="none"/>
          <w:lang w:eastAsia="zh-CN"/>
        </w:rPr>
      </w:pPr>
      <w:bookmarkStart w:id="61" w:name="bookmark276"/>
      <w:bookmarkStart w:id="62" w:name="_Toc29219"/>
      <w:bookmarkStart w:id="63" w:name="bookmark277"/>
      <w:bookmarkStart w:id="64" w:name="bookmark275"/>
      <w:bookmarkStart w:id="65" w:name="_Toc79479585"/>
      <w:bookmarkStart w:id="66" w:name="_Toc22341"/>
      <w:r>
        <w:rPr>
          <w:rFonts w:ascii="宋体" w:hAnsi="宋体" w:cs="宋体"/>
          <w:color w:val="auto"/>
          <w:sz w:val="21"/>
          <w:szCs w:val="21"/>
          <w:highlight w:val="none"/>
          <w:lang w:eastAsia="zh-CN"/>
        </w:rPr>
        <w:t xml:space="preserve">1.5 </w:t>
      </w:r>
      <w:r>
        <w:rPr>
          <w:rFonts w:hint="eastAsia" w:ascii="宋体" w:hAnsi="宋体" w:cs="宋体"/>
          <w:color w:val="auto"/>
          <w:sz w:val="21"/>
          <w:szCs w:val="21"/>
          <w:highlight w:val="none"/>
          <w:lang w:eastAsia="zh-CN"/>
        </w:rPr>
        <w:t>语言文字</w:t>
      </w:r>
      <w:bookmarkEnd w:id="61"/>
      <w:bookmarkEnd w:id="62"/>
      <w:bookmarkEnd w:id="63"/>
      <w:bookmarkEnd w:id="64"/>
      <w:bookmarkEnd w:id="65"/>
      <w:bookmarkEnd w:id="66"/>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采购文件和响应文件使用的语言文字为中文。专用术语使用外文的，应附有中文注释。</w:t>
      </w:r>
    </w:p>
    <w:p>
      <w:pPr>
        <w:pStyle w:val="5"/>
        <w:keepLines w:val="0"/>
        <w:spacing w:before="0" w:after="0" w:line="360" w:lineRule="auto"/>
        <w:ind w:firstLine="422" w:firstLineChars="200"/>
        <w:rPr>
          <w:rFonts w:ascii="宋体"/>
          <w:color w:val="auto"/>
          <w:sz w:val="21"/>
          <w:szCs w:val="21"/>
          <w:highlight w:val="none"/>
          <w:lang w:eastAsia="zh-CN"/>
        </w:rPr>
      </w:pPr>
      <w:bookmarkStart w:id="67" w:name="_Toc8811"/>
      <w:bookmarkStart w:id="68" w:name="bookmark280"/>
      <w:bookmarkStart w:id="69" w:name="_Toc79479586"/>
      <w:bookmarkStart w:id="70" w:name="bookmark278"/>
      <w:bookmarkStart w:id="71" w:name="_Toc4916"/>
      <w:bookmarkStart w:id="72" w:name="bookmark279"/>
      <w:r>
        <w:rPr>
          <w:rFonts w:ascii="宋体" w:hAnsi="宋体" w:cs="宋体"/>
          <w:color w:val="auto"/>
          <w:sz w:val="21"/>
          <w:szCs w:val="21"/>
          <w:highlight w:val="none"/>
          <w:lang w:eastAsia="zh-CN"/>
        </w:rPr>
        <w:t xml:space="preserve">1.6 </w:t>
      </w:r>
      <w:r>
        <w:rPr>
          <w:rFonts w:hint="eastAsia" w:ascii="宋体" w:hAnsi="宋体" w:cs="宋体"/>
          <w:color w:val="auto"/>
          <w:sz w:val="21"/>
          <w:szCs w:val="21"/>
          <w:highlight w:val="none"/>
          <w:lang w:eastAsia="zh-CN"/>
        </w:rPr>
        <w:t>计量单位</w:t>
      </w:r>
      <w:bookmarkEnd w:id="67"/>
      <w:bookmarkEnd w:id="68"/>
      <w:bookmarkEnd w:id="69"/>
      <w:bookmarkEnd w:id="70"/>
      <w:bookmarkEnd w:id="71"/>
      <w:bookmarkEnd w:id="72"/>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所有计量均采用中华人民共和国法定计量单位。</w:t>
      </w:r>
    </w:p>
    <w:p>
      <w:pPr>
        <w:pStyle w:val="5"/>
        <w:keepLines w:val="0"/>
        <w:spacing w:before="0" w:after="0" w:line="360" w:lineRule="auto"/>
        <w:ind w:firstLine="422" w:firstLineChars="200"/>
        <w:rPr>
          <w:rFonts w:ascii="宋体"/>
          <w:color w:val="auto"/>
          <w:sz w:val="21"/>
          <w:szCs w:val="21"/>
          <w:highlight w:val="none"/>
          <w:lang w:eastAsia="zh-CN"/>
        </w:rPr>
      </w:pPr>
      <w:bookmarkStart w:id="73" w:name="_Toc79479587"/>
      <w:bookmarkStart w:id="74" w:name="bookmark283"/>
      <w:bookmarkStart w:id="75" w:name="bookmark281"/>
      <w:bookmarkStart w:id="76" w:name="_Toc22"/>
      <w:bookmarkStart w:id="77" w:name="_Toc1371"/>
      <w:bookmarkStart w:id="78" w:name="bookmark282"/>
      <w:r>
        <w:rPr>
          <w:rFonts w:ascii="宋体" w:hAnsi="宋体" w:cs="宋体"/>
          <w:color w:val="auto"/>
          <w:sz w:val="21"/>
          <w:szCs w:val="21"/>
          <w:highlight w:val="none"/>
          <w:lang w:eastAsia="zh-CN"/>
        </w:rPr>
        <w:t xml:space="preserve">1.7 </w:t>
      </w:r>
      <w:r>
        <w:rPr>
          <w:rFonts w:hint="eastAsia" w:ascii="宋体" w:hAnsi="宋体" w:cs="宋体"/>
          <w:color w:val="auto"/>
          <w:sz w:val="21"/>
          <w:szCs w:val="21"/>
          <w:highlight w:val="none"/>
          <w:lang w:eastAsia="zh-CN"/>
        </w:rPr>
        <w:t>踏勘现场</w:t>
      </w:r>
      <w:bookmarkEnd w:id="73"/>
      <w:bookmarkEnd w:id="74"/>
      <w:bookmarkEnd w:id="75"/>
      <w:bookmarkEnd w:id="76"/>
      <w:bookmarkEnd w:id="77"/>
      <w:bookmarkEnd w:id="78"/>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1.7.</w:t>
      </w:r>
      <w:r>
        <w:rPr>
          <w:color w:val="auto"/>
          <w:sz w:val="21"/>
          <w:szCs w:val="21"/>
          <w:highlight w:val="none"/>
        </w:rPr>
        <w:t>1</w:t>
      </w:r>
      <w:r>
        <w:rPr>
          <w:rFonts w:hint="eastAsia"/>
          <w:color w:val="auto"/>
          <w:sz w:val="21"/>
          <w:szCs w:val="21"/>
          <w:highlight w:val="none"/>
        </w:rPr>
        <w:t>供应商须知前附表规定组织踏勘现场的，采购人按供应商须知前附表规定的时间、地点组织供应商踏勘项目现场。部分供应商未按时参加踏勘现场的，不影响踏勘现场的正常进行。</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1.7.2</w:t>
      </w:r>
      <w:r>
        <w:rPr>
          <w:rFonts w:hint="eastAsia"/>
          <w:color w:val="auto"/>
          <w:sz w:val="21"/>
          <w:szCs w:val="21"/>
          <w:highlight w:val="none"/>
        </w:rPr>
        <w:t>供应商可自愿参加踏勘现场活动。除采购人的原因外，采购人对供应商参加踏勘现场中所发生的人员伤亡和财产损失不承担责任。</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1.7.3</w:t>
      </w:r>
      <w:r>
        <w:rPr>
          <w:rFonts w:hint="eastAsia"/>
          <w:color w:val="auto"/>
          <w:sz w:val="21"/>
          <w:szCs w:val="21"/>
          <w:highlight w:val="none"/>
        </w:rPr>
        <w:t>釆购人在踏勘现场中介绍的工程场地和相关的周边环境情况，仅作为供应商编制响应文件的参考，采购人不对供应商据此作出的判断和决策负责。</w:t>
      </w:r>
    </w:p>
    <w:p>
      <w:pPr>
        <w:pStyle w:val="5"/>
        <w:keepLines w:val="0"/>
        <w:spacing w:before="0" w:after="0" w:line="360" w:lineRule="auto"/>
        <w:ind w:firstLine="422" w:firstLineChars="200"/>
        <w:rPr>
          <w:rFonts w:ascii="宋体"/>
          <w:color w:val="auto"/>
          <w:sz w:val="21"/>
          <w:szCs w:val="21"/>
          <w:highlight w:val="none"/>
          <w:lang w:eastAsia="zh-CN"/>
        </w:rPr>
      </w:pPr>
      <w:bookmarkStart w:id="79" w:name="bookmark286"/>
      <w:bookmarkStart w:id="80" w:name="_Toc19230"/>
      <w:bookmarkStart w:id="81" w:name="_Toc79479588"/>
      <w:bookmarkStart w:id="82" w:name="_Toc27350"/>
      <w:bookmarkStart w:id="83" w:name="bookmark284"/>
      <w:bookmarkStart w:id="84" w:name="bookmark285"/>
      <w:r>
        <w:rPr>
          <w:rFonts w:ascii="宋体" w:hAnsi="宋体" w:cs="宋体"/>
          <w:color w:val="auto"/>
          <w:sz w:val="21"/>
          <w:szCs w:val="21"/>
          <w:highlight w:val="none"/>
          <w:lang w:eastAsia="zh-CN"/>
        </w:rPr>
        <w:t xml:space="preserve">1.8 </w:t>
      </w:r>
      <w:r>
        <w:rPr>
          <w:rFonts w:hint="eastAsia" w:ascii="宋体" w:hAnsi="宋体" w:cs="宋体"/>
          <w:color w:val="auto"/>
          <w:sz w:val="21"/>
          <w:szCs w:val="21"/>
          <w:highlight w:val="none"/>
          <w:lang w:eastAsia="zh-CN"/>
        </w:rPr>
        <w:t>询比采购预备会</w:t>
      </w:r>
      <w:bookmarkEnd w:id="79"/>
      <w:bookmarkEnd w:id="80"/>
      <w:bookmarkEnd w:id="81"/>
      <w:bookmarkEnd w:id="82"/>
      <w:bookmarkEnd w:id="83"/>
      <w:bookmarkEnd w:id="84"/>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供应商须知前附表规定召开</w:t>
      </w:r>
      <w:r>
        <w:rPr>
          <w:rFonts w:hint="eastAsia"/>
          <w:color w:val="auto"/>
          <w:sz w:val="21"/>
          <w:szCs w:val="21"/>
          <w:highlight w:val="none"/>
          <w:lang w:eastAsia="zh-CN"/>
        </w:rPr>
        <w:t>询比</w:t>
      </w:r>
      <w:r>
        <w:rPr>
          <w:rFonts w:hint="eastAsia"/>
          <w:color w:val="auto"/>
          <w:sz w:val="21"/>
          <w:szCs w:val="21"/>
          <w:highlight w:val="none"/>
        </w:rPr>
        <w:t>釆购预备会的，釆购人按供应商须知前附表规定的时间和地点召开</w:t>
      </w:r>
      <w:r>
        <w:rPr>
          <w:rFonts w:hint="eastAsia"/>
          <w:color w:val="auto"/>
          <w:sz w:val="21"/>
          <w:szCs w:val="21"/>
          <w:highlight w:val="none"/>
          <w:lang w:eastAsia="zh-CN"/>
        </w:rPr>
        <w:t>询比</w:t>
      </w:r>
      <w:r>
        <w:rPr>
          <w:rFonts w:hint="eastAsia"/>
          <w:color w:val="auto"/>
          <w:sz w:val="21"/>
          <w:szCs w:val="21"/>
          <w:highlight w:val="none"/>
        </w:rPr>
        <w:t>采购预备会。</w:t>
      </w:r>
    </w:p>
    <w:p>
      <w:pPr>
        <w:pStyle w:val="46"/>
        <w:keepNext/>
        <w:spacing w:line="360" w:lineRule="auto"/>
        <w:ind w:firstLine="422" w:firstLineChars="200"/>
        <w:rPr>
          <w:b/>
          <w:bCs/>
          <w:color w:val="auto"/>
          <w:sz w:val="21"/>
          <w:szCs w:val="21"/>
          <w:highlight w:val="none"/>
          <w:lang w:val="en-US" w:eastAsia="zh-CN"/>
        </w:rPr>
      </w:pPr>
      <w:r>
        <w:rPr>
          <w:b/>
          <w:bCs/>
          <w:color w:val="auto"/>
          <w:sz w:val="21"/>
          <w:szCs w:val="21"/>
          <w:highlight w:val="none"/>
          <w:lang w:val="en-US" w:eastAsia="zh-CN"/>
        </w:rPr>
        <w:t xml:space="preserve">1.9 </w:t>
      </w:r>
      <w:r>
        <w:rPr>
          <w:rFonts w:hint="eastAsia"/>
          <w:b/>
          <w:bCs/>
          <w:color w:val="auto"/>
          <w:sz w:val="21"/>
          <w:szCs w:val="21"/>
          <w:highlight w:val="none"/>
          <w:lang w:val="en-US" w:eastAsia="zh-CN"/>
        </w:rPr>
        <w:t>主要材料和关键部件外购</w:t>
      </w:r>
    </w:p>
    <w:p>
      <w:pPr>
        <w:pStyle w:val="46"/>
        <w:keepNext/>
        <w:spacing w:line="360" w:lineRule="auto"/>
        <w:ind w:firstLine="420" w:firstLineChars="200"/>
        <w:rPr>
          <w:rFonts w:cs="Times New Roman"/>
          <w:color w:val="auto"/>
          <w:sz w:val="21"/>
          <w:szCs w:val="21"/>
          <w:highlight w:val="none"/>
        </w:rPr>
      </w:pPr>
      <w:r>
        <w:rPr>
          <w:rFonts w:hint="eastAsia"/>
          <w:bCs/>
          <w:color w:val="auto"/>
          <w:sz w:val="21"/>
          <w:szCs w:val="21"/>
          <w:highlight w:val="none"/>
          <w:lang w:val="en-US" w:eastAsia="zh-CN"/>
        </w:rPr>
        <w:t>供应商拟对主要材料和关键部件进行外购的，应符合第五章“采购需求”中提出的或允许外购的相关规定，并在响应文件中作出说明。</w:t>
      </w:r>
    </w:p>
    <w:p>
      <w:pPr>
        <w:pStyle w:val="5"/>
        <w:keepLines w:val="0"/>
        <w:spacing w:before="0" w:after="0" w:line="360" w:lineRule="auto"/>
        <w:ind w:firstLine="422" w:firstLineChars="200"/>
        <w:rPr>
          <w:rFonts w:ascii="宋体"/>
          <w:color w:val="auto"/>
          <w:sz w:val="21"/>
          <w:szCs w:val="21"/>
          <w:highlight w:val="none"/>
          <w:lang w:eastAsia="zh-CN"/>
        </w:rPr>
      </w:pPr>
      <w:bookmarkStart w:id="85" w:name="_Toc79479590"/>
      <w:bookmarkStart w:id="86" w:name="bookmark291"/>
      <w:bookmarkStart w:id="87" w:name="bookmark292"/>
      <w:bookmarkStart w:id="88" w:name="bookmark290"/>
      <w:bookmarkStart w:id="89" w:name="_Toc29934"/>
      <w:bookmarkStart w:id="90" w:name="_Toc12928"/>
      <w:r>
        <w:rPr>
          <w:rFonts w:ascii="宋体" w:hAnsi="宋体" w:cs="宋体"/>
          <w:color w:val="auto"/>
          <w:sz w:val="21"/>
          <w:szCs w:val="21"/>
          <w:highlight w:val="none"/>
          <w:lang w:eastAsia="zh-CN"/>
        </w:rPr>
        <w:t xml:space="preserve">1.10 </w:t>
      </w:r>
      <w:r>
        <w:rPr>
          <w:rFonts w:hint="eastAsia" w:ascii="宋体" w:hAnsi="宋体" w:cs="宋体"/>
          <w:color w:val="auto"/>
          <w:sz w:val="21"/>
          <w:szCs w:val="21"/>
          <w:highlight w:val="none"/>
          <w:lang w:eastAsia="zh-CN"/>
        </w:rPr>
        <w:t>响应和偏差</w:t>
      </w:r>
      <w:bookmarkEnd w:id="85"/>
      <w:bookmarkEnd w:id="86"/>
      <w:bookmarkEnd w:id="87"/>
      <w:bookmarkEnd w:id="88"/>
      <w:bookmarkEnd w:id="89"/>
      <w:bookmarkEnd w:id="90"/>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1.10.</w:t>
      </w:r>
      <w:r>
        <w:rPr>
          <w:color w:val="auto"/>
          <w:sz w:val="21"/>
          <w:szCs w:val="21"/>
          <w:highlight w:val="none"/>
        </w:rPr>
        <w:t>1</w:t>
      </w:r>
      <w:r>
        <w:rPr>
          <w:rFonts w:hint="eastAsia"/>
          <w:color w:val="auto"/>
          <w:sz w:val="21"/>
          <w:szCs w:val="21"/>
          <w:highlight w:val="none"/>
        </w:rPr>
        <w:t>采购需求和合同草案中的关键条款均以</w:t>
      </w:r>
      <w:r>
        <w:rPr>
          <w:rFonts w:hint="eastAsia"/>
          <w:color w:val="auto"/>
          <w:sz w:val="21"/>
          <w:szCs w:val="21"/>
          <w:highlight w:val="none"/>
          <w:lang w:val="en-US" w:eastAsia="zh-CN"/>
        </w:rPr>
        <w:t>“</w:t>
      </w:r>
      <w:r>
        <w:rPr>
          <w:color w:val="auto"/>
          <w:sz w:val="21"/>
          <w:szCs w:val="21"/>
          <w:highlight w:val="none"/>
          <w:lang w:val="en-US" w:eastAsia="zh-CN"/>
        </w:rPr>
        <w:t>*</w:t>
      </w:r>
      <w:r>
        <w:rPr>
          <w:rFonts w:hint="eastAsia"/>
          <w:color w:val="auto"/>
          <w:sz w:val="21"/>
          <w:szCs w:val="21"/>
          <w:highlight w:val="none"/>
          <w:lang w:val="en-US" w:eastAsia="zh-CN"/>
        </w:rPr>
        <w:t>”</w:t>
      </w:r>
      <w:r>
        <w:rPr>
          <w:rFonts w:hint="eastAsia"/>
          <w:color w:val="auto"/>
          <w:sz w:val="21"/>
          <w:szCs w:val="21"/>
          <w:highlight w:val="none"/>
        </w:rPr>
        <w:t>符号标记。响应文件应当对采购需求和合同</w:t>
      </w:r>
      <w:r>
        <w:rPr>
          <w:rFonts w:hint="eastAsia"/>
          <w:color w:val="auto"/>
          <w:sz w:val="21"/>
          <w:szCs w:val="21"/>
          <w:highlight w:val="none"/>
          <w:lang w:eastAsia="zh-CN"/>
        </w:rPr>
        <w:t>条款及格式</w:t>
      </w:r>
      <w:r>
        <w:rPr>
          <w:rFonts w:hint="eastAsia"/>
          <w:color w:val="auto"/>
          <w:sz w:val="21"/>
          <w:szCs w:val="21"/>
          <w:highlight w:val="none"/>
        </w:rPr>
        <w:t>中的关键条款作岀满足性或更有利于采购人的响应，否则，供应商的响应文件将被视为无效。</w:t>
      </w:r>
    </w:p>
    <w:p>
      <w:pPr>
        <w:pStyle w:val="46"/>
        <w:keepNext/>
        <w:tabs>
          <w:tab w:val="left" w:pos="344"/>
        </w:tabs>
        <w:spacing w:line="360" w:lineRule="auto"/>
        <w:ind w:firstLine="420" w:firstLineChars="200"/>
        <w:rPr>
          <w:rFonts w:cs="Times New Roman"/>
          <w:color w:val="auto"/>
          <w:sz w:val="21"/>
          <w:szCs w:val="21"/>
          <w:highlight w:val="none"/>
        </w:rPr>
      </w:pPr>
      <w:bookmarkStart w:id="91" w:name="bookmark293"/>
      <w:bookmarkEnd w:id="91"/>
      <w:r>
        <w:rPr>
          <w:color w:val="auto"/>
          <w:sz w:val="21"/>
          <w:szCs w:val="21"/>
          <w:highlight w:val="none"/>
          <w:lang w:val="en-US" w:eastAsia="zh-CN"/>
        </w:rPr>
        <w:t>1.10.2</w:t>
      </w:r>
      <w:r>
        <w:rPr>
          <w:rFonts w:hint="eastAsia"/>
          <w:color w:val="auto"/>
          <w:sz w:val="21"/>
          <w:szCs w:val="21"/>
          <w:highlight w:val="none"/>
        </w:rPr>
        <w:t>供应商须知前附表规定了对非关键条款允许偏差的范围和可以偏差的项数的</w:t>
      </w:r>
      <w:r>
        <w:rPr>
          <w:color w:val="auto"/>
          <w:sz w:val="21"/>
          <w:szCs w:val="21"/>
          <w:highlight w:val="none"/>
        </w:rPr>
        <w:t>,</w:t>
      </w:r>
      <w:r>
        <w:rPr>
          <w:rFonts w:hint="eastAsia"/>
          <w:color w:val="auto"/>
          <w:sz w:val="21"/>
          <w:szCs w:val="21"/>
          <w:highlight w:val="none"/>
        </w:rPr>
        <w:t>如响应文件存在的偏差超出上述范围或项数，将被视为无效。</w:t>
      </w:r>
    </w:p>
    <w:p>
      <w:pPr>
        <w:pStyle w:val="4"/>
        <w:keepLines w:val="0"/>
        <w:spacing w:before="0" w:after="0" w:line="360" w:lineRule="auto"/>
        <w:ind w:firstLine="422" w:firstLineChars="200"/>
        <w:rPr>
          <w:rFonts w:ascii="宋体"/>
          <w:color w:val="auto"/>
          <w:sz w:val="21"/>
          <w:szCs w:val="21"/>
          <w:highlight w:val="none"/>
          <w:lang w:eastAsia="zh-CN"/>
        </w:rPr>
      </w:pPr>
      <w:bookmarkStart w:id="92" w:name="_Toc32332"/>
      <w:bookmarkStart w:id="93" w:name="bookmark295"/>
      <w:bookmarkStart w:id="94" w:name="bookmark294"/>
      <w:bookmarkStart w:id="95" w:name="_Toc79479591"/>
      <w:bookmarkStart w:id="96" w:name="bookmark296"/>
      <w:bookmarkStart w:id="97" w:name="_Toc27309"/>
      <w:r>
        <w:rPr>
          <w:rFonts w:ascii="宋体" w:hAnsi="宋体" w:cs="宋体"/>
          <w:color w:val="auto"/>
          <w:sz w:val="21"/>
          <w:szCs w:val="21"/>
          <w:highlight w:val="none"/>
          <w:lang w:eastAsia="zh-CN"/>
        </w:rPr>
        <w:t xml:space="preserve">2 </w:t>
      </w:r>
      <w:r>
        <w:rPr>
          <w:rFonts w:hint="eastAsia" w:ascii="宋体" w:hAnsi="宋体" w:cs="宋体"/>
          <w:color w:val="auto"/>
          <w:sz w:val="21"/>
          <w:szCs w:val="21"/>
          <w:highlight w:val="none"/>
          <w:lang w:eastAsia="zh-CN"/>
        </w:rPr>
        <w:t>采购文件</w:t>
      </w:r>
      <w:bookmarkEnd w:id="92"/>
      <w:bookmarkEnd w:id="93"/>
      <w:bookmarkEnd w:id="94"/>
      <w:bookmarkEnd w:id="95"/>
      <w:bookmarkEnd w:id="96"/>
      <w:bookmarkEnd w:id="97"/>
    </w:p>
    <w:p>
      <w:pPr>
        <w:pStyle w:val="5"/>
        <w:keepLines w:val="0"/>
        <w:spacing w:before="0" w:after="0" w:line="360" w:lineRule="auto"/>
        <w:ind w:firstLine="422" w:firstLineChars="200"/>
        <w:rPr>
          <w:rFonts w:ascii="宋体"/>
          <w:color w:val="auto"/>
          <w:sz w:val="21"/>
          <w:szCs w:val="21"/>
          <w:highlight w:val="none"/>
          <w:lang w:eastAsia="zh-CN"/>
        </w:rPr>
      </w:pPr>
      <w:bookmarkStart w:id="98" w:name="bookmark299"/>
      <w:bookmarkStart w:id="99" w:name="_Toc27144"/>
      <w:bookmarkStart w:id="100" w:name="bookmark297"/>
      <w:bookmarkStart w:id="101" w:name="_Toc14037"/>
      <w:bookmarkStart w:id="102" w:name="_Toc79479592"/>
      <w:bookmarkStart w:id="103" w:name="bookmark298"/>
      <w:r>
        <w:rPr>
          <w:rFonts w:ascii="宋体" w:hAnsi="宋体" w:cs="宋体"/>
          <w:color w:val="auto"/>
          <w:sz w:val="21"/>
          <w:szCs w:val="21"/>
          <w:highlight w:val="none"/>
          <w:lang w:eastAsia="zh-CN"/>
        </w:rPr>
        <w:t xml:space="preserve">2.1 </w:t>
      </w:r>
      <w:r>
        <w:rPr>
          <w:rFonts w:hint="eastAsia" w:ascii="宋体" w:hAnsi="宋体" w:cs="宋体"/>
          <w:color w:val="auto"/>
          <w:sz w:val="21"/>
          <w:szCs w:val="21"/>
          <w:highlight w:val="none"/>
          <w:lang w:eastAsia="zh-CN"/>
        </w:rPr>
        <w:t>采购文件的组成</w:t>
      </w:r>
      <w:bookmarkEnd w:id="98"/>
      <w:bookmarkEnd w:id="99"/>
      <w:bookmarkEnd w:id="100"/>
      <w:bookmarkEnd w:id="101"/>
      <w:bookmarkEnd w:id="102"/>
      <w:bookmarkEnd w:id="103"/>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本采购文件包括：</w:t>
      </w:r>
    </w:p>
    <w:p>
      <w:pPr>
        <w:pStyle w:val="46"/>
        <w:keepNext/>
        <w:tabs>
          <w:tab w:val="left" w:pos="1006"/>
        </w:tabs>
        <w:spacing w:line="360" w:lineRule="auto"/>
        <w:ind w:firstLine="420" w:firstLineChars="200"/>
        <w:rPr>
          <w:rFonts w:cs="Times New Roman"/>
          <w:color w:val="auto"/>
          <w:sz w:val="21"/>
          <w:szCs w:val="21"/>
          <w:highlight w:val="none"/>
        </w:rPr>
      </w:pPr>
      <w:bookmarkStart w:id="104" w:name="bookmark300"/>
      <w:bookmarkEnd w:id="104"/>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）询比</w:t>
      </w:r>
      <w:r>
        <w:rPr>
          <w:rFonts w:hint="eastAsia"/>
          <w:color w:val="auto"/>
          <w:sz w:val="21"/>
          <w:szCs w:val="21"/>
          <w:highlight w:val="none"/>
        </w:rPr>
        <w:t>釆购公告；</w:t>
      </w:r>
    </w:p>
    <w:p>
      <w:pPr>
        <w:pStyle w:val="46"/>
        <w:keepNext/>
        <w:tabs>
          <w:tab w:val="left" w:pos="1006"/>
        </w:tabs>
        <w:spacing w:line="360" w:lineRule="auto"/>
        <w:ind w:firstLine="420" w:firstLineChars="200"/>
        <w:rPr>
          <w:rFonts w:cs="Times New Roman"/>
          <w:color w:val="auto"/>
          <w:sz w:val="21"/>
          <w:szCs w:val="21"/>
          <w:highlight w:val="none"/>
        </w:rPr>
      </w:pPr>
      <w:bookmarkStart w:id="105" w:name="bookmark301"/>
      <w:bookmarkEnd w:id="105"/>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供应商须知；</w:t>
      </w:r>
    </w:p>
    <w:p>
      <w:pPr>
        <w:pStyle w:val="46"/>
        <w:keepNext/>
        <w:tabs>
          <w:tab w:val="left" w:pos="1006"/>
        </w:tabs>
        <w:spacing w:line="360" w:lineRule="auto"/>
        <w:ind w:firstLine="420" w:firstLineChars="200"/>
        <w:rPr>
          <w:rFonts w:cs="Times New Roman"/>
          <w:color w:val="auto"/>
          <w:sz w:val="21"/>
          <w:szCs w:val="21"/>
          <w:highlight w:val="none"/>
        </w:rPr>
      </w:pPr>
      <w:bookmarkStart w:id="106" w:name="bookmark302"/>
      <w:bookmarkEnd w:id="106"/>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评审办法；</w:t>
      </w:r>
    </w:p>
    <w:p>
      <w:pPr>
        <w:pStyle w:val="46"/>
        <w:keepNext/>
        <w:tabs>
          <w:tab w:val="left" w:pos="1006"/>
        </w:tabs>
        <w:spacing w:line="360" w:lineRule="auto"/>
        <w:ind w:firstLine="420" w:firstLineChars="200"/>
        <w:rPr>
          <w:rFonts w:cs="Times New Roman"/>
          <w:color w:val="auto"/>
          <w:sz w:val="21"/>
          <w:szCs w:val="21"/>
          <w:highlight w:val="none"/>
        </w:rPr>
      </w:pPr>
      <w:bookmarkStart w:id="107" w:name="bookmark303"/>
      <w:bookmarkEnd w:id="107"/>
      <w:r>
        <w:rPr>
          <w:rFonts w:hint="eastAsia"/>
          <w:color w:val="auto"/>
          <w:sz w:val="21"/>
          <w:szCs w:val="21"/>
          <w:highlight w:val="none"/>
          <w:lang w:eastAsia="zh-CN"/>
        </w:rPr>
        <w:t>（</w:t>
      </w:r>
      <w:r>
        <w:rPr>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合同</w:t>
      </w:r>
      <w:r>
        <w:rPr>
          <w:rFonts w:hint="eastAsia"/>
          <w:color w:val="auto"/>
          <w:sz w:val="21"/>
          <w:szCs w:val="21"/>
          <w:highlight w:val="none"/>
          <w:lang w:eastAsia="zh-CN"/>
        </w:rPr>
        <w:t>条款及格式</w:t>
      </w:r>
      <w:r>
        <w:rPr>
          <w:rFonts w:hint="eastAsia"/>
          <w:color w:val="auto"/>
          <w:sz w:val="21"/>
          <w:szCs w:val="21"/>
          <w:highlight w:val="none"/>
        </w:rPr>
        <w:t>；</w:t>
      </w:r>
    </w:p>
    <w:p>
      <w:pPr>
        <w:pStyle w:val="46"/>
        <w:keepNext/>
        <w:tabs>
          <w:tab w:val="left" w:pos="1006"/>
        </w:tabs>
        <w:spacing w:line="360" w:lineRule="auto"/>
        <w:ind w:firstLine="420" w:firstLineChars="200"/>
        <w:rPr>
          <w:rFonts w:cs="Times New Roman"/>
          <w:color w:val="auto"/>
          <w:sz w:val="21"/>
          <w:szCs w:val="21"/>
          <w:highlight w:val="none"/>
        </w:rPr>
      </w:pPr>
      <w:bookmarkStart w:id="108" w:name="bookmark304"/>
      <w:bookmarkEnd w:id="108"/>
      <w:r>
        <w:rPr>
          <w:rFonts w:hint="eastAsia"/>
          <w:color w:val="auto"/>
          <w:sz w:val="21"/>
          <w:szCs w:val="21"/>
          <w:highlight w:val="none"/>
          <w:lang w:eastAsia="zh-CN"/>
        </w:rPr>
        <w:t>（</w:t>
      </w:r>
      <w:r>
        <w:rPr>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采购需求；</w:t>
      </w:r>
    </w:p>
    <w:p>
      <w:pPr>
        <w:pStyle w:val="46"/>
        <w:keepNext/>
        <w:tabs>
          <w:tab w:val="left" w:pos="1006"/>
        </w:tabs>
        <w:spacing w:line="360" w:lineRule="auto"/>
        <w:ind w:firstLine="420" w:firstLineChars="200"/>
        <w:rPr>
          <w:rFonts w:cs="Times New Roman"/>
          <w:color w:val="auto"/>
          <w:sz w:val="21"/>
          <w:szCs w:val="21"/>
          <w:highlight w:val="none"/>
        </w:rPr>
      </w:pPr>
      <w:bookmarkStart w:id="109" w:name="bookmark305"/>
      <w:bookmarkEnd w:id="109"/>
      <w:r>
        <w:rPr>
          <w:rFonts w:hint="eastAsia"/>
          <w:color w:val="auto"/>
          <w:sz w:val="21"/>
          <w:szCs w:val="21"/>
          <w:highlight w:val="none"/>
          <w:lang w:eastAsia="zh-CN"/>
        </w:rPr>
        <w:t>（</w:t>
      </w:r>
      <w:r>
        <w:rPr>
          <w:color w:val="auto"/>
          <w:sz w:val="21"/>
          <w:szCs w:val="21"/>
          <w:highlight w:val="none"/>
          <w:lang w:val="en-US" w:eastAsia="zh-CN"/>
        </w:rPr>
        <w:t>6</w:t>
      </w:r>
      <w:r>
        <w:rPr>
          <w:rFonts w:hint="eastAsia"/>
          <w:color w:val="auto"/>
          <w:sz w:val="21"/>
          <w:szCs w:val="21"/>
          <w:highlight w:val="none"/>
          <w:lang w:eastAsia="zh-CN"/>
        </w:rPr>
        <w:t>）</w:t>
      </w:r>
      <w:r>
        <w:rPr>
          <w:rFonts w:hint="eastAsia"/>
          <w:color w:val="auto"/>
          <w:sz w:val="21"/>
          <w:szCs w:val="21"/>
          <w:highlight w:val="none"/>
        </w:rPr>
        <w:t>响应文件格式；</w:t>
      </w:r>
    </w:p>
    <w:p>
      <w:pPr>
        <w:pStyle w:val="46"/>
        <w:keepNext/>
        <w:tabs>
          <w:tab w:val="left" w:pos="1006"/>
        </w:tabs>
        <w:spacing w:line="360" w:lineRule="auto"/>
        <w:ind w:firstLine="420" w:firstLineChars="200"/>
        <w:rPr>
          <w:rFonts w:cs="Times New Roman"/>
          <w:color w:val="auto"/>
          <w:sz w:val="21"/>
          <w:szCs w:val="21"/>
          <w:highlight w:val="none"/>
        </w:rPr>
      </w:pPr>
      <w:bookmarkStart w:id="110" w:name="bookmark306"/>
      <w:bookmarkEnd w:id="110"/>
      <w:r>
        <w:rPr>
          <w:rFonts w:hint="eastAsia"/>
          <w:color w:val="auto"/>
          <w:sz w:val="21"/>
          <w:szCs w:val="21"/>
          <w:highlight w:val="none"/>
          <w:lang w:eastAsia="zh-CN"/>
        </w:rPr>
        <w:t>（</w:t>
      </w:r>
      <w:r>
        <w:rPr>
          <w:color w:val="auto"/>
          <w:sz w:val="21"/>
          <w:szCs w:val="21"/>
          <w:highlight w:val="none"/>
          <w:lang w:val="en-US" w:eastAsia="zh-CN"/>
        </w:rPr>
        <w:t>7</w:t>
      </w:r>
      <w:r>
        <w:rPr>
          <w:rFonts w:hint="eastAsia"/>
          <w:color w:val="auto"/>
          <w:sz w:val="21"/>
          <w:szCs w:val="21"/>
          <w:highlight w:val="none"/>
          <w:lang w:eastAsia="zh-CN"/>
        </w:rPr>
        <w:t>）</w:t>
      </w:r>
      <w:r>
        <w:rPr>
          <w:rFonts w:hint="eastAsia"/>
          <w:color w:val="auto"/>
          <w:sz w:val="21"/>
          <w:szCs w:val="21"/>
          <w:highlight w:val="none"/>
        </w:rPr>
        <w:t>供应商须知前附表规定的其他资料。</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采购人依照本章规定，对釆购文件所作的澄清、修改，构成采购文件的组成部分。</w:t>
      </w:r>
    </w:p>
    <w:p>
      <w:pPr>
        <w:pStyle w:val="5"/>
        <w:keepLines w:val="0"/>
        <w:spacing w:before="0" w:after="0" w:line="360" w:lineRule="auto"/>
        <w:ind w:firstLine="422" w:firstLineChars="200"/>
        <w:rPr>
          <w:rFonts w:ascii="宋体"/>
          <w:color w:val="auto"/>
          <w:sz w:val="21"/>
          <w:szCs w:val="21"/>
          <w:highlight w:val="none"/>
          <w:lang w:eastAsia="zh-CN"/>
        </w:rPr>
      </w:pPr>
      <w:bookmarkStart w:id="111" w:name="_Toc79479593"/>
      <w:bookmarkStart w:id="112" w:name="_Toc4961"/>
      <w:bookmarkStart w:id="113" w:name="bookmark309"/>
      <w:bookmarkStart w:id="114" w:name="_Toc22175"/>
      <w:bookmarkStart w:id="115" w:name="bookmark308"/>
      <w:bookmarkStart w:id="116" w:name="bookmark307"/>
      <w:r>
        <w:rPr>
          <w:rFonts w:ascii="宋体" w:hAnsi="宋体" w:cs="宋体"/>
          <w:color w:val="auto"/>
          <w:sz w:val="21"/>
          <w:szCs w:val="21"/>
          <w:highlight w:val="none"/>
          <w:lang w:eastAsia="zh-CN"/>
        </w:rPr>
        <w:t xml:space="preserve">2.2 </w:t>
      </w:r>
      <w:r>
        <w:rPr>
          <w:rFonts w:hint="eastAsia" w:ascii="宋体" w:hAnsi="宋体" w:cs="宋体"/>
          <w:color w:val="auto"/>
          <w:sz w:val="21"/>
          <w:szCs w:val="21"/>
          <w:highlight w:val="none"/>
          <w:lang w:eastAsia="zh-CN"/>
        </w:rPr>
        <w:t>采购文件的澄清和修改</w:t>
      </w:r>
      <w:bookmarkEnd w:id="111"/>
      <w:bookmarkEnd w:id="112"/>
      <w:bookmarkEnd w:id="113"/>
      <w:bookmarkEnd w:id="114"/>
      <w:bookmarkEnd w:id="115"/>
      <w:bookmarkEnd w:id="116"/>
    </w:p>
    <w:p>
      <w:pPr>
        <w:pStyle w:val="46"/>
        <w:keepNext/>
        <w:tabs>
          <w:tab w:val="left" w:pos="354"/>
        </w:tabs>
        <w:spacing w:line="360" w:lineRule="auto"/>
        <w:ind w:firstLine="420" w:firstLineChars="200"/>
        <w:rPr>
          <w:rFonts w:cs="Times New Roman"/>
          <w:color w:val="auto"/>
          <w:sz w:val="21"/>
          <w:szCs w:val="21"/>
          <w:highlight w:val="none"/>
        </w:rPr>
      </w:pPr>
      <w:bookmarkStart w:id="117" w:name="bookmark310"/>
      <w:bookmarkEnd w:id="117"/>
      <w:r>
        <w:rPr>
          <w:color w:val="auto"/>
          <w:sz w:val="21"/>
          <w:szCs w:val="21"/>
          <w:highlight w:val="none"/>
          <w:lang w:val="en-US" w:eastAsia="zh-CN"/>
        </w:rPr>
        <w:t>2.2.</w:t>
      </w:r>
      <w:r>
        <w:rPr>
          <w:color w:val="auto"/>
          <w:sz w:val="21"/>
          <w:szCs w:val="21"/>
          <w:highlight w:val="none"/>
        </w:rPr>
        <w:t>1</w:t>
      </w:r>
      <w:r>
        <w:rPr>
          <w:rFonts w:hint="eastAsia"/>
          <w:color w:val="auto"/>
          <w:sz w:val="21"/>
          <w:szCs w:val="21"/>
          <w:highlight w:val="none"/>
        </w:rPr>
        <w:t>供应商应仔细阅读和检查采购文件的全部内容。如发现缺页或内容不全，应及时向釆购人提出，以便补齐。如有疑问，应在供应商须知前附表规定的时间前，以书面形式要求采购人对采购文件予以澄清。</w:t>
      </w:r>
    </w:p>
    <w:p>
      <w:pPr>
        <w:pStyle w:val="46"/>
        <w:keepNext/>
        <w:tabs>
          <w:tab w:val="left" w:pos="358"/>
        </w:tabs>
        <w:spacing w:line="360" w:lineRule="auto"/>
        <w:ind w:firstLine="420" w:firstLineChars="200"/>
        <w:rPr>
          <w:rFonts w:cs="Times New Roman"/>
          <w:color w:val="auto"/>
          <w:sz w:val="21"/>
          <w:szCs w:val="21"/>
          <w:highlight w:val="none"/>
        </w:rPr>
      </w:pPr>
      <w:bookmarkStart w:id="118" w:name="bookmark311"/>
      <w:bookmarkEnd w:id="118"/>
      <w:r>
        <w:rPr>
          <w:color w:val="auto"/>
          <w:sz w:val="21"/>
          <w:szCs w:val="21"/>
          <w:highlight w:val="none"/>
          <w:lang w:val="en-US" w:eastAsia="zh-CN"/>
        </w:rPr>
        <w:t>2.2.2</w:t>
      </w:r>
      <w:r>
        <w:rPr>
          <w:rFonts w:hint="eastAsia"/>
          <w:color w:val="auto"/>
          <w:sz w:val="21"/>
          <w:szCs w:val="21"/>
          <w:highlight w:val="none"/>
        </w:rPr>
        <w:t>采购人可根据供应商的要求或主动对采购文件进行澄清或修改。澄清或修改的内容以补充文件的形式发给所有获取采购文件的供应商。釆购人可视具体情况在补充文件中通知供应商推迟递交响应文件的截止时间。</w:t>
      </w:r>
    </w:p>
    <w:p>
      <w:pPr>
        <w:pStyle w:val="46"/>
        <w:keepNext/>
        <w:tabs>
          <w:tab w:val="left" w:pos="354"/>
        </w:tabs>
        <w:spacing w:line="360" w:lineRule="auto"/>
        <w:ind w:firstLine="420" w:firstLineChars="200"/>
        <w:rPr>
          <w:rFonts w:cs="Times New Roman"/>
          <w:color w:val="auto"/>
          <w:sz w:val="21"/>
          <w:szCs w:val="21"/>
          <w:highlight w:val="none"/>
        </w:rPr>
      </w:pPr>
      <w:bookmarkStart w:id="119" w:name="bookmark312"/>
      <w:bookmarkEnd w:id="119"/>
      <w:r>
        <w:rPr>
          <w:color w:val="auto"/>
          <w:sz w:val="21"/>
          <w:szCs w:val="21"/>
          <w:highlight w:val="none"/>
          <w:lang w:val="en-US" w:eastAsia="zh-CN"/>
        </w:rPr>
        <w:t>2.2.3</w:t>
      </w:r>
      <w:r>
        <w:rPr>
          <w:rFonts w:hint="eastAsia"/>
          <w:color w:val="auto"/>
          <w:sz w:val="21"/>
          <w:szCs w:val="21"/>
          <w:highlight w:val="none"/>
        </w:rPr>
        <w:t>供应商在收到补充文件后，应按供应商须知前附表规定的时间和方式通知釆购人，确认已收到该补充文件。</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2.2.4</w:t>
      </w:r>
      <w:r>
        <w:rPr>
          <w:rFonts w:hint="eastAsia"/>
          <w:color w:val="auto"/>
          <w:sz w:val="21"/>
          <w:szCs w:val="21"/>
          <w:highlight w:val="none"/>
        </w:rPr>
        <w:t>除非确有必要，釆购人有权拒绝回复供应商在本章第</w:t>
      </w:r>
      <w:r>
        <w:rPr>
          <w:color w:val="auto"/>
          <w:sz w:val="21"/>
          <w:szCs w:val="21"/>
          <w:highlight w:val="none"/>
          <w:lang w:val="en-US" w:eastAsia="zh-CN"/>
        </w:rPr>
        <w:t>2.2.</w:t>
      </w:r>
      <w:r>
        <w:rPr>
          <w:color w:val="auto"/>
          <w:sz w:val="21"/>
          <w:szCs w:val="21"/>
          <w:highlight w:val="none"/>
        </w:rPr>
        <w:t>1</w:t>
      </w:r>
      <w:r>
        <w:rPr>
          <w:rFonts w:hint="eastAsia"/>
          <w:color w:val="auto"/>
          <w:sz w:val="21"/>
          <w:szCs w:val="21"/>
          <w:highlight w:val="none"/>
        </w:rPr>
        <w:t>项规定的时间后提出的任何澄清要求。</w:t>
      </w:r>
    </w:p>
    <w:p>
      <w:pPr>
        <w:pStyle w:val="4"/>
        <w:keepLines w:val="0"/>
        <w:spacing w:before="0" w:after="0" w:line="360" w:lineRule="auto"/>
        <w:ind w:firstLine="422" w:firstLineChars="200"/>
        <w:rPr>
          <w:rFonts w:ascii="宋体"/>
          <w:color w:val="auto"/>
          <w:sz w:val="21"/>
          <w:szCs w:val="21"/>
          <w:highlight w:val="none"/>
          <w:lang w:eastAsia="zh-CN"/>
        </w:rPr>
      </w:pPr>
      <w:bookmarkStart w:id="120" w:name="bookmark314"/>
      <w:bookmarkStart w:id="121" w:name="_Toc7544"/>
      <w:bookmarkStart w:id="122" w:name="bookmark315"/>
      <w:bookmarkStart w:id="123" w:name="_Toc79479594"/>
      <w:bookmarkStart w:id="124" w:name="_Toc27542"/>
      <w:bookmarkStart w:id="125" w:name="bookmark313"/>
      <w:r>
        <w:rPr>
          <w:rFonts w:ascii="宋体" w:hAnsi="宋体" w:cs="宋体"/>
          <w:color w:val="auto"/>
          <w:sz w:val="21"/>
          <w:szCs w:val="21"/>
          <w:highlight w:val="none"/>
          <w:lang w:eastAsia="zh-CN"/>
        </w:rPr>
        <w:t xml:space="preserve">3 </w:t>
      </w:r>
      <w:r>
        <w:rPr>
          <w:rFonts w:hint="eastAsia" w:ascii="宋体" w:hAnsi="宋体" w:cs="宋体"/>
          <w:color w:val="auto"/>
          <w:sz w:val="21"/>
          <w:szCs w:val="21"/>
          <w:highlight w:val="none"/>
          <w:lang w:eastAsia="zh-CN"/>
        </w:rPr>
        <w:t>响应文件</w:t>
      </w:r>
      <w:bookmarkEnd w:id="120"/>
      <w:bookmarkEnd w:id="121"/>
      <w:bookmarkEnd w:id="122"/>
      <w:bookmarkEnd w:id="123"/>
      <w:bookmarkEnd w:id="124"/>
      <w:bookmarkEnd w:id="125"/>
    </w:p>
    <w:p>
      <w:pPr>
        <w:pStyle w:val="5"/>
        <w:keepLines w:val="0"/>
        <w:spacing w:before="0" w:after="0" w:line="360" w:lineRule="auto"/>
        <w:ind w:firstLine="422" w:firstLineChars="200"/>
        <w:rPr>
          <w:rFonts w:ascii="宋体"/>
          <w:color w:val="auto"/>
          <w:sz w:val="21"/>
          <w:szCs w:val="21"/>
          <w:highlight w:val="none"/>
          <w:lang w:eastAsia="zh-CN"/>
        </w:rPr>
      </w:pPr>
      <w:bookmarkStart w:id="126" w:name="_Toc3182"/>
      <w:bookmarkStart w:id="127" w:name="bookmark316"/>
      <w:bookmarkStart w:id="128" w:name="bookmark317"/>
      <w:bookmarkStart w:id="129" w:name="_Toc79479595"/>
      <w:bookmarkStart w:id="130" w:name="_Toc18800"/>
      <w:bookmarkStart w:id="131" w:name="bookmark318"/>
      <w:r>
        <w:rPr>
          <w:rFonts w:ascii="宋体" w:hAnsi="宋体" w:cs="宋体"/>
          <w:color w:val="auto"/>
          <w:sz w:val="21"/>
          <w:szCs w:val="21"/>
          <w:highlight w:val="none"/>
          <w:lang w:eastAsia="zh-CN"/>
        </w:rPr>
        <w:t xml:space="preserve">3.1 </w:t>
      </w:r>
      <w:r>
        <w:rPr>
          <w:rFonts w:hint="eastAsia" w:ascii="宋体" w:hAnsi="宋体" w:cs="宋体"/>
          <w:color w:val="auto"/>
          <w:sz w:val="21"/>
          <w:szCs w:val="21"/>
          <w:highlight w:val="none"/>
          <w:lang w:eastAsia="zh-CN"/>
        </w:rPr>
        <w:t>响应文件的组成</w:t>
      </w:r>
      <w:bookmarkEnd w:id="126"/>
      <w:bookmarkEnd w:id="127"/>
      <w:bookmarkEnd w:id="128"/>
      <w:bookmarkEnd w:id="129"/>
      <w:bookmarkEnd w:id="130"/>
      <w:bookmarkEnd w:id="131"/>
    </w:p>
    <w:p>
      <w:pPr>
        <w:pStyle w:val="46"/>
        <w:keepNext/>
        <w:tabs>
          <w:tab w:val="left" w:pos="349"/>
        </w:tabs>
        <w:spacing w:line="360" w:lineRule="auto"/>
        <w:ind w:firstLine="420" w:firstLineChars="200"/>
        <w:rPr>
          <w:rFonts w:cs="Times New Roman"/>
          <w:color w:val="auto"/>
          <w:sz w:val="21"/>
          <w:szCs w:val="21"/>
          <w:highlight w:val="none"/>
        </w:rPr>
      </w:pPr>
      <w:bookmarkStart w:id="132" w:name="bookmark319"/>
      <w:bookmarkEnd w:id="132"/>
      <w:r>
        <w:rPr>
          <w:color w:val="auto"/>
          <w:sz w:val="21"/>
          <w:szCs w:val="21"/>
          <w:highlight w:val="none"/>
          <w:lang w:val="en-US" w:eastAsia="zh-CN"/>
        </w:rPr>
        <w:t>3.1.</w:t>
      </w:r>
      <w:r>
        <w:rPr>
          <w:color w:val="auto"/>
          <w:sz w:val="21"/>
          <w:szCs w:val="21"/>
          <w:highlight w:val="none"/>
        </w:rPr>
        <w:t>1</w:t>
      </w:r>
      <w:r>
        <w:rPr>
          <w:rFonts w:hint="eastAsia"/>
          <w:color w:val="auto"/>
          <w:sz w:val="21"/>
          <w:szCs w:val="21"/>
          <w:highlight w:val="none"/>
        </w:rPr>
        <w:t>响应文件应包括下列内容：</w:t>
      </w:r>
    </w:p>
    <w:p>
      <w:pPr>
        <w:pStyle w:val="46"/>
        <w:keepNext/>
        <w:tabs>
          <w:tab w:val="left" w:pos="1006"/>
        </w:tabs>
        <w:spacing w:line="360" w:lineRule="auto"/>
        <w:ind w:firstLine="420" w:firstLineChars="200"/>
        <w:rPr>
          <w:rFonts w:cs="Times New Roman"/>
          <w:color w:val="auto"/>
          <w:sz w:val="21"/>
          <w:szCs w:val="21"/>
          <w:highlight w:val="none"/>
        </w:rPr>
      </w:pPr>
      <w:bookmarkStart w:id="133" w:name="bookmark320"/>
      <w:bookmarkEnd w:id="133"/>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响应函；</w:t>
      </w:r>
    </w:p>
    <w:p>
      <w:pPr>
        <w:pStyle w:val="46"/>
        <w:keepNext/>
        <w:tabs>
          <w:tab w:val="left" w:pos="1006"/>
        </w:tabs>
        <w:spacing w:line="360" w:lineRule="auto"/>
        <w:ind w:firstLine="420" w:firstLineChars="200"/>
        <w:rPr>
          <w:rFonts w:cs="Times New Roman"/>
          <w:color w:val="auto"/>
          <w:sz w:val="21"/>
          <w:szCs w:val="21"/>
          <w:highlight w:val="none"/>
        </w:rPr>
      </w:pPr>
      <w:bookmarkStart w:id="134" w:name="bookmark321"/>
      <w:bookmarkEnd w:id="134"/>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授权委托书；</w:t>
      </w:r>
    </w:p>
    <w:p>
      <w:pPr>
        <w:pStyle w:val="46"/>
        <w:keepNext/>
        <w:tabs>
          <w:tab w:val="left" w:pos="1006"/>
        </w:tabs>
        <w:spacing w:line="360" w:lineRule="auto"/>
        <w:ind w:firstLine="420" w:firstLineChars="200"/>
        <w:rPr>
          <w:color w:val="auto"/>
          <w:sz w:val="21"/>
          <w:szCs w:val="21"/>
          <w:highlight w:val="none"/>
          <w:lang w:eastAsia="zh-CN"/>
        </w:rPr>
      </w:pPr>
      <w:bookmarkStart w:id="135" w:name="bookmark323"/>
      <w:bookmarkEnd w:id="135"/>
      <w:bookmarkStart w:id="136" w:name="bookmark324"/>
      <w:bookmarkEnd w:id="136"/>
      <w:bookmarkStart w:id="137" w:name="bookmark322"/>
      <w:bookmarkEnd w:id="137"/>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商务和技术偏差表；</w:t>
      </w:r>
    </w:p>
    <w:p>
      <w:pPr>
        <w:pStyle w:val="46"/>
        <w:keepNext/>
        <w:tabs>
          <w:tab w:val="left" w:pos="1006"/>
        </w:tabs>
        <w:spacing w:line="360" w:lineRule="auto"/>
        <w:ind w:firstLine="420" w:firstLineChars="200"/>
        <w:rPr>
          <w:color w:val="auto"/>
          <w:sz w:val="21"/>
          <w:szCs w:val="21"/>
          <w:highlight w:val="none"/>
        </w:rPr>
      </w:pPr>
      <w:r>
        <w:rPr>
          <w:rFonts w:hint="eastAsia"/>
          <w:color w:val="auto"/>
          <w:sz w:val="21"/>
          <w:szCs w:val="21"/>
          <w:highlight w:val="none"/>
        </w:rPr>
        <w:t>（4）响应保证金(适用于要求提交响应保证金的情况)</w:t>
      </w:r>
    </w:p>
    <w:p>
      <w:pPr>
        <w:pStyle w:val="46"/>
        <w:keepNext/>
        <w:tabs>
          <w:tab w:val="left" w:pos="1006"/>
        </w:tabs>
        <w:spacing w:line="360" w:lineRule="auto"/>
        <w:ind w:firstLine="420" w:firstLineChars="200"/>
        <w:rPr>
          <w:color w:val="auto"/>
          <w:sz w:val="21"/>
          <w:szCs w:val="21"/>
          <w:highlight w:val="none"/>
        </w:rPr>
      </w:pPr>
      <w:bookmarkStart w:id="138" w:name="bookmark325"/>
      <w:bookmarkEnd w:id="138"/>
      <w:bookmarkStart w:id="139" w:name="bookmark326"/>
      <w:bookmarkEnd w:id="139"/>
      <w:r>
        <w:rPr>
          <w:rFonts w:hint="eastAsia"/>
          <w:color w:val="auto"/>
          <w:sz w:val="21"/>
          <w:szCs w:val="21"/>
          <w:highlight w:val="none"/>
        </w:rPr>
        <w:t>（5）资格审查资料；</w:t>
      </w:r>
    </w:p>
    <w:p>
      <w:pPr>
        <w:pStyle w:val="46"/>
        <w:keepNext/>
        <w:tabs>
          <w:tab w:val="left" w:pos="986"/>
        </w:tabs>
        <w:spacing w:line="360" w:lineRule="auto"/>
        <w:ind w:firstLine="420" w:firstLineChars="200"/>
        <w:rPr>
          <w:color w:val="auto"/>
          <w:sz w:val="21"/>
          <w:szCs w:val="21"/>
          <w:highlight w:val="none"/>
        </w:rPr>
      </w:pPr>
      <w:bookmarkStart w:id="140" w:name="bookmark327"/>
      <w:bookmarkEnd w:id="140"/>
      <w:r>
        <w:rPr>
          <w:rFonts w:hint="eastAsia"/>
          <w:color w:val="auto"/>
          <w:sz w:val="21"/>
          <w:szCs w:val="21"/>
          <w:highlight w:val="none"/>
        </w:rPr>
        <w:t>（6）货物质量标准或技术性能指标的详细描述；</w:t>
      </w:r>
    </w:p>
    <w:p>
      <w:pPr>
        <w:pStyle w:val="46"/>
        <w:keepNext/>
        <w:tabs>
          <w:tab w:val="left" w:pos="986"/>
        </w:tabs>
        <w:spacing w:line="360" w:lineRule="auto"/>
        <w:ind w:firstLine="420" w:firstLineChars="200"/>
        <w:rPr>
          <w:color w:val="auto"/>
          <w:sz w:val="21"/>
          <w:szCs w:val="21"/>
          <w:highlight w:val="none"/>
        </w:rPr>
      </w:pPr>
      <w:r>
        <w:rPr>
          <w:rFonts w:hint="eastAsia"/>
          <w:color w:val="auto"/>
          <w:sz w:val="21"/>
          <w:szCs w:val="21"/>
          <w:highlight w:val="none"/>
        </w:rPr>
        <w:t>（7）技术支持资料</w:t>
      </w:r>
    </w:p>
    <w:p>
      <w:pPr>
        <w:pStyle w:val="46"/>
        <w:keepNext/>
        <w:tabs>
          <w:tab w:val="left" w:pos="986"/>
        </w:tabs>
        <w:spacing w:line="360" w:lineRule="auto"/>
        <w:ind w:firstLine="420" w:firstLineChars="200"/>
        <w:rPr>
          <w:color w:val="auto"/>
          <w:sz w:val="21"/>
          <w:szCs w:val="21"/>
          <w:highlight w:val="none"/>
        </w:rPr>
      </w:pPr>
      <w:r>
        <w:rPr>
          <w:rFonts w:hint="eastAsia"/>
          <w:color w:val="auto"/>
          <w:sz w:val="21"/>
          <w:szCs w:val="21"/>
          <w:highlight w:val="none"/>
        </w:rPr>
        <w:t>（8）相关服务计划</w:t>
      </w:r>
    </w:p>
    <w:p>
      <w:pPr>
        <w:pStyle w:val="46"/>
        <w:keepNext/>
        <w:tabs>
          <w:tab w:val="left" w:pos="986"/>
        </w:tabs>
        <w:spacing w:line="360" w:lineRule="auto"/>
        <w:ind w:firstLine="420" w:firstLineChars="200"/>
        <w:rPr>
          <w:color w:val="auto"/>
          <w:sz w:val="21"/>
          <w:szCs w:val="21"/>
          <w:highlight w:val="none"/>
        </w:rPr>
      </w:pPr>
      <w:r>
        <w:rPr>
          <w:rFonts w:hint="eastAsia"/>
          <w:color w:val="auto"/>
          <w:sz w:val="21"/>
          <w:szCs w:val="21"/>
          <w:highlight w:val="none"/>
        </w:rPr>
        <w:t>（9）其他资料；</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供应商在评审过程中作出的符合釆购文件要求的澄清、说明和补正，构成响应文件的组成部分。</w:t>
      </w:r>
    </w:p>
    <w:p>
      <w:pPr>
        <w:pStyle w:val="46"/>
        <w:keepNext/>
        <w:tabs>
          <w:tab w:val="left" w:pos="349"/>
        </w:tabs>
        <w:spacing w:line="360" w:lineRule="auto"/>
        <w:ind w:firstLine="420" w:firstLineChars="200"/>
        <w:rPr>
          <w:rFonts w:cs="Times New Roman"/>
          <w:color w:val="auto"/>
          <w:sz w:val="21"/>
          <w:szCs w:val="21"/>
          <w:highlight w:val="none"/>
        </w:rPr>
      </w:pPr>
      <w:bookmarkStart w:id="141" w:name="bookmark329"/>
      <w:bookmarkEnd w:id="141"/>
      <w:r>
        <w:rPr>
          <w:color w:val="auto"/>
          <w:sz w:val="21"/>
          <w:szCs w:val="21"/>
          <w:highlight w:val="none"/>
          <w:lang w:val="en-US" w:eastAsia="zh-CN"/>
        </w:rPr>
        <w:t>3.1.2</w:t>
      </w:r>
      <w:r>
        <w:rPr>
          <w:rFonts w:hint="eastAsia"/>
          <w:color w:val="auto"/>
          <w:sz w:val="21"/>
          <w:szCs w:val="21"/>
          <w:highlight w:val="none"/>
        </w:rPr>
        <w:t>供应商的法定代表人</w:t>
      </w:r>
      <w:r>
        <w:rPr>
          <w:color w:val="auto"/>
          <w:sz w:val="21"/>
          <w:szCs w:val="21"/>
          <w:highlight w:val="none"/>
        </w:rPr>
        <w:t>(</w:t>
      </w:r>
      <w:r>
        <w:rPr>
          <w:rFonts w:hint="eastAsia"/>
          <w:color w:val="auto"/>
          <w:sz w:val="21"/>
          <w:szCs w:val="21"/>
          <w:highlight w:val="none"/>
        </w:rPr>
        <w:t>单位负责人</w:t>
      </w:r>
      <w:r>
        <w:rPr>
          <w:color w:val="auto"/>
          <w:sz w:val="21"/>
          <w:szCs w:val="21"/>
          <w:highlight w:val="none"/>
        </w:rPr>
        <w:t>)</w:t>
      </w:r>
      <w:r>
        <w:rPr>
          <w:rFonts w:hint="eastAsia"/>
          <w:color w:val="auto"/>
          <w:sz w:val="21"/>
          <w:szCs w:val="21"/>
          <w:highlight w:val="none"/>
        </w:rPr>
        <w:t>亲自签署响应文件、亲自参加</w:t>
      </w:r>
      <w:r>
        <w:rPr>
          <w:rFonts w:hint="eastAsia"/>
          <w:color w:val="auto"/>
          <w:sz w:val="21"/>
          <w:szCs w:val="21"/>
          <w:highlight w:val="none"/>
          <w:lang w:eastAsia="zh-CN"/>
        </w:rPr>
        <w:t>询比</w:t>
      </w:r>
      <w:r>
        <w:rPr>
          <w:rFonts w:hint="eastAsia"/>
          <w:color w:val="auto"/>
          <w:sz w:val="21"/>
          <w:szCs w:val="21"/>
          <w:highlight w:val="none"/>
        </w:rPr>
        <w:t>的，响应文件不包括第</w:t>
      </w:r>
      <w:r>
        <w:rPr>
          <w:color w:val="auto"/>
          <w:sz w:val="21"/>
          <w:szCs w:val="21"/>
          <w:highlight w:val="none"/>
          <w:lang w:val="en-US" w:eastAsia="zh-CN"/>
        </w:rPr>
        <w:t>3.1.1</w:t>
      </w:r>
      <w:r>
        <w:rPr>
          <w:color w:val="auto"/>
          <w:sz w:val="21"/>
          <w:szCs w:val="21"/>
          <w:highlight w:val="none"/>
        </w:rPr>
        <w:t>(2)</w:t>
      </w:r>
      <w:r>
        <w:rPr>
          <w:rFonts w:hint="eastAsia"/>
          <w:color w:val="auto"/>
          <w:sz w:val="21"/>
          <w:szCs w:val="21"/>
          <w:highlight w:val="none"/>
        </w:rPr>
        <w:t>目所指的授权委托书。第一章</w:t>
      </w:r>
      <w:r>
        <w:rPr>
          <w:rFonts w:hint="eastAsia"/>
          <w:color w:val="auto"/>
          <w:sz w:val="21"/>
          <w:szCs w:val="21"/>
          <w:highlight w:val="none"/>
          <w:lang w:val="zh-CN" w:eastAsia="zh-CN"/>
        </w:rPr>
        <w:t>“询比</w:t>
      </w:r>
      <w:r>
        <w:rPr>
          <w:rFonts w:hint="eastAsia"/>
          <w:color w:val="auto"/>
          <w:sz w:val="21"/>
          <w:szCs w:val="21"/>
          <w:highlight w:val="none"/>
        </w:rPr>
        <w:t>采购公告”规定不接受联合体的，或供应商没有组成联合体的。供应商须知前附表未要求供应商递交响应保证金的。</w:t>
      </w:r>
    </w:p>
    <w:p>
      <w:pPr>
        <w:pStyle w:val="5"/>
        <w:keepLines w:val="0"/>
        <w:spacing w:before="0" w:after="0" w:line="360" w:lineRule="auto"/>
        <w:ind w:firstLine="422" w:firstLineChars="200"/>
        <w:rPr>
          <w:rFonts w:ascii="宋体"/>
          <w:color w:val="auto"/>
          <w:sz w:val="21"/>
          <w:szCs w:val="21"/>
          <w:highlight w:val="none"/>
          <w:lang w:eastAsia="zh-CN"/>
        </w:rPr>
      </w:pPr>
      <w:bookmarkStart w:id="142" w:name="_Toc79479596"/>
      <w:bookmarkStart w:id="143" w:name="bookmark331"/>
      <w:bookmarkStart w:id="144" w:name="bookmark330"/>
      <w:bookmarkStart w:id="145" w:name="_Toc10881"/>
      <w:bookmarkStart w:id="146" w:name="bookmark332"/>
      <w:bookmarkStart w:id="147" w:name="_Toc31451"/>
      <w:r>
        <w:rPr>
          <w:rFonts w:ascii="宋体" w:hAnsi="宋体" w:cs="宋体"/>
          <w:color w:val="auto"/>
          <w:sz w:val="21"/>
          <w:szCs w:val="21"/>
          <w:highlight w:val="none"/>
          <w:lang w:eastAsia="zh-CN"/>
        </w:rPr>
        <w:t xml:space="preserve">3.2 </w:t>
      </w:r>
      <w:r>
        <w:rPr>
          <w:rFonts w:hint="eastAsia" w:ascii="宋体" w:hAnsi="宋体" w:cs="宋体"/>
          <w:color w:val="auto"/>
          <w:sz w:val="21"/>
          <w:szCs w:val="21"/>
          <w:highlight w:val="none"/>
          <w:lang w:eastAsia="zh-CN"/>
        </w:rPr>
        <w:t>报价</w:t>
      </w:r>
      <w:bookmarkEnd w:id="142"/>
      <w:bookmarkEnd w:id="143"/>
      <w:bookmarkEnd w:id="144"/>
      <w:bookmarkEnd w:id="145"/>
      <w:bookmarkEnd w:id="146"/>
      <w:bookmarkEnd w:id="147"/>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3.2.1</w:t>
      </w:r>
      <w:r>
        <w:rPr>
          <w:rFonts w:hint="eastAsia"/>
          <w:color w:val="auto"/>
          <w:sz w:val="21"/>
          <w:szCs w:val="21"/>
          <w:highlight w:val="none"/>
        </w:rPr>
        <w:t>供应商应按釆购文件提供的格式</w:t>
      </w:r>
      <w:r>
        <w:rPr>
          <w:color w:val="auto"/>
          <w:sz w:val="21"/>
          <w:szCs w:val="21"/>
          <w:highlight w:val="none"/>
        </w:rPr>
        <w:t>(</w:t>
      </w:r>
      <w:r>
        <w:rPr>
          <w:rFonts w:hint="eastAsia"/>
          <w:color w:val="auto"/>
          <w:sz w:val="21"/>
          <w:szCs w:val="21"/>
          <w:highlight w:val="none"/>
        </w:rPr>
        <w:t>见第六章</w:t>
      </w:r>
      <w:r>
        <w:rPr>
          <w:rFonts w:hint="eastAsia"/>
          <w:color w:val="auto"/>
          <w:sz w:val="21"/>
          <w:szCs w:val="21"/>
          <w:highlight w:val="none"/>
          <w:lang w:val="zh-CN" w:eastAsia="zh-CN"/>
        </w:rPr>
        <w:t>“响</w:t>
      </w:r>
      <w:r>
        <w:rPr>
          <w:rFonts w:hint="eastAsia"/>
          <w:color w:val="auto"/>
          <w:sz w:val="21"/>
          <w:szCs w:val="21"/>
          <w:highlight w:val="none"/>
        </w:rPr>
        <w:t>应文件格式”</w:t>
      </w:r>
      <w:r>
        <w:rPr>
          <w:color w:val="auto"/>
          <w:sz w:val="21"/>
          <w:szCs w:val="21"/>
          <w:highlight w:val="none"/>
        </w:rPr>
        <w:t>)</w:t>
      </w:r>
      <w:r>
        <w:rPr>
          <w:rFonts w:hint="eastAsia"/>
          <w:color w:val="auto"/>
          <w:sz w:val="21"/>
          <w:szCs w:val="21"/>
          <w:highlight w:val="none"/>
        </w:rPr>
        <w:t>在响应函和报价表中进行报价。响应函中报价应为包含国家规定的增值税在内的含税价格。采购人将根据项目情况，在第三章</w:t>
      </w:r>
      <w:r>
        <w:rPr>
          <w:rFonts w:hint="eastAsia"/>
          <w:color w:val="auto"/>
          <w:sz w:val="21"/>
          <w:szCs w:val="21"/>
          <w:highlight w:val="none"/>
          <w:lang w:val="zh-CN" w:eastAsia="zh-CN"/>
        </w:rPr>
        <w:t>“评审</w:t>
      </w:r>
      <w:r>
        <w:rPr>
          <w:rFonts w:hint="eastAsia"/>
          <w:color w:val="auto"/>
          <w:sz w:val="21"/>
          <w:szCs w:val="21"/>
          <w:highlight w:val="none"/>
        </w:rPr>
        <w:t>办法”第</w:t>
      </w:r>
      <w:r>
        <w:rPr>
          <w:color w:val="auto"/>
          <w:sz w:val="21"/>
          <w:szCs w:val="21"/>
          <w:highlight w:val="none"/>
          <w:lang w:val="en-US" w:eastAsia="zh-CN"/>
        </w:rPr>
        <w:t>3.2.2</w:t>
      </w:r>
      <w:r>
        <w:rPr>
          <w:rFonts w:hint="eastAsia"/>
          <w:color w:val="auto"/>
          <w:sz w:val="21"/>
          <w:szCs w:val="21"/>
          <w:highlight w:val="none"/>
        </w:rPr>
        <w:t>项中选择按照含税价格对供应商进行价格评审。</w:t>
      </w:r>
    </w:p>
    <w:p>
      <w:pPr>
        <w:pStyle w:val="46"/>
        <w:keepNext/>
        <w:spacing w:line="360" w:lineRule="auto"/>
        <w:ind w:firstLine="420" w:firstLineChars="200"/>
        <w:rPr>
          <w:rFonts w:cs="Times New Roman"/>
          <w:color w:val="auto"/>
          <w:sz w:val="21"/>
          <w:szCs w:val="21"/>
          <w:highlight w:val="none"/>
          <w:lang w:eastAsia="zh-CN"/>
        </w:rPr>
      </w:pPr>
      <w:r>
        <w:rPr>
          <w:color w:val="auto"/>
          <w:sz w:val="21"/>
          <w:szCs w:val="21"/>
          <w:highlight w:val="none"/>
          <w:lang w:val="en-US" w:eastAsia="zh-CN"/>
        </w:rPr>
        <w:t>3.2.2</w:t>
      </w:r>
      <w:r>
        <w:rPr>
          <w:rFonts w:hint="eastAsia"/>
          <w:color w:val="auto"/>
          <w:sz w:val="21"/>
          <w:szCs w:val="21"/>
          <w:highlight w:val="none"/>
        </w:rPr>
        <w:t>供应商应充分了解釆购项目的总体情况以及影响报价的其他要素。</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3.2.3</w:t>
      </w:r>
      <w:r>
        <w:rPr>
          <w:rFonts w:hint="eastAsia"/>
          <w:color w:val="auto"/>
          <w:sz w:val="21"/>
          <w:szCs w:val="21"/>
          <w:highlight w:val="none"/>
        </w:rPr>
        <w:t>釆购人设有最高限价的，供应商的报价不得超过最高限价。最高限价或最高限价计算方法在供应商须知前附表中载明。</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3.2.4</w:t>
      </w:r>
      <w:r>
        <w:rPr>
          <w:rFonts w:hint="eastAsia"/>
          <w:color w:val="auto"/>
          <w:sz w:val="21"/>
          <w:szCs w:val="21"/>
          <w:highlight w:val="none"/>
        </w:rPr>
        <w:t>报价的其他要求见供应商须知前附表。</w:t>
      </w:r>
    </w:p>
    <w:p>
      <w:pPr>
        <w:pStyle w:val="5"/>
        <w:keepLines w:val="0"/>
        <w:spacing w:before="0" w:after="0" w:line="360" w:lineRule="auto"/>
        <w:ind w:firstLine="422" w:firstLineChars="200"/>
        <w:rPr>
          <w:rFonts w:ascii="宋体"/>
          <w:color w:val="auto"/>
          <w:sz w:val="21"/>
          <w:szCs w:val="21"/>
          <w:highlight w:val="none"/>
          <w:lang w:eastAsia="zh-CN"/>
        </w:rPr>
      </w:pPr>
      <w:bookmarkStart w:id="148" w:name="bookmark333"/>
      <w:bookmarkStart w:id="149" w:name="_Toc11302"/>
      <w:bookmarkStart w:id="150" w:name="bookmark335"/>
      <w:bookmarkStart w:id="151" w:name="_Toc19794"/>
      <w:bookmarkStart w:id="152" w:name="_Toc79479597"/>
      <w:bookmarkStart w:id="153" w:name="bookmark334"/>
      <w:r>
        <w:rPr>
          <w:rFonts w:ascii="宋体" w:hAnsi="宋体" w:cs="宋体"/>
          <w:color w:val="auto"/>
          <w:sz w:val="21"/>
          <w:szCs w:val="21"/>
          <w:highlight w:val="none"/>
          <w:lang w:eastAsia="zh-CN"/>
        </w:rPr>
        <w:t xml:space="preserve">3.3 </w:t>
      </w:r>
      <w:r>
        <w:rPr>
          <w:rFonts w:hint="eastAsia" w:ascii="宋体" w:hAnsi="宋体" w:cs="宋体"/>
          <w:color w:val="auto"/>
          <w:sz w:val="21"/>
          <w:szCs w:val="21"/>
          <w:highlight w:val="none"/>
          <w:lang w:eastAsia="zh-CN"/>
        </w:rPr>
        <w:t>响应文件有效期</w:t>
      </w:r>
      <w:bookmarkEnd w:id="148"/>
      <w:bookmarkEnd w:id="149"/>
      <w:bookmarkEnd w:id="150"/>
      <w:bookmarkEnd w:id="151"/>
      <w:bookmarkEnd w:id="152"/>
      <w:bookmarkEnd w:id="153"/>
    </w:p>
    <w:p>
      <w:pPr>
        <w:pStyle w:val="46"/>
        <w:keepNext/>
        <w:tabs>
          <w:tab w:val="left" w:pos="354"/>
        </w:tabs>
        <w:spacing w:line="360" w:lineRule="auto"/>
        <w:ind w:firstLine="420" w:firstLineChars="200"/>
        <w:rPr>
          <w:rFonts w:cs="Times New Roman"/>
          <w:color w:val="auto"/>
          <w:sz w:val="21"/>
          <w:szCs w:val="21"/>
          <w:highlight w:val="none"/>
        </w:rPr>
      </w:pPr>
      <w:bookmarkStart w:id="154" w:name="bookmark336"/>
      <w:bookmarkEnd w:id="154"/>
      <w:r>
        <w:rPr>
          <w:color w:val="auto"/>
          <w:sz w:val="21"/>
          <w:szCs w:val="21"/>
          <w:highlight w:val="none"/>
          <w:lang w:val="en-US" w:eastAsia="zh-CN"/>
        </w:rPr>
        <w:t>3.3.</w:t>
      </w:r>
      <w:r>
        <w:rPr>
          <w:color w:val="auto"/>
          <w:sz w:val="21"/>
          <w:szCs w:val="21"/>
          <w:highlight w:val="none"/>
        </w:rPr>
        <w:t>1</w:t>
      </w:r>
      <w:r>
        <w:rPr>
          <w:rFonts w:hint="eastAsia"/>
          <w:color w:val="auto"/>
          <w:sz w:val="21"/>
          <w:szCs w:val="21"/>
          <w:highlight w:val="none"/>
        </w:rPr>
        <w:t>除供应商须知前附表另有规定外，响应文件有效期应为</w:t>
      </w:r>
      <w:r>
        <w:rPr>
          <w:color w:val="auto"/>
          <w:sz w:val="21"/>
          <w:szCs w:val="21"/>
          <w:highlight w:val="none"/>
        </w:rPr>
        <w:t>90</w:t>
      </w:r>
      <w:r>
        <w:rPr>
          <w:rFonts w:hint="eastAsia"/>
          <w:color w:val="auto"/>
          <w:sz w:val="21"/>
          <w:szCs w:val="21"/>
          <w:highlight w:val="none"/>
        </w:rPr>
        <w:t>日，从采购文件规定的递交响应文件的截止时间开始计算。</w:t>
      </w:r>
    </w:p>
    <w:p>
      <w:pPr>
        <w:pStyle w:val="46"/>
        <w:keepNext/>
        <w:tabs>
          <w:tab w:val="left" w:pos="354"/>
        </w:tabs>
        <w:spacing w:line="360" w:lineRule="auto"/>
        <w:ind w:firstLine="420" w:firstLineChars="200"/>
        <w:rPr>
          <w:rFonts w:cs="Times New Roman"/>
          <w:color w:val="auto"/>
          <w:sz w:val="21"/>
          <w:szCs w:val="21"/>
          <w:highlight w:val="none"/>
        </w:rPr>
      </w:pPr>
      <w:r>
        <w:rPr>
          <w:color w:val="auto"/>
          <w:sz w:val="21"/>
          <w:szCs w:val="21"/>
          <w:highlight w:val="none"/>
          <w:lang w:val="en-US" w:eastAsia="zh-CN"/>
        </w:rPr>
        <w:t>3.3.2</w:t>
      </w:r>
      <w:r>
        <w:rPr>
          <w:rFonts w:hint="eastAsia"/>
          <w:color w:val="auto"/>
          <w:sz w:val="21"/>
          <w:szCs w:val="21"/>
          <w:highlight w:val="none"/>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pStyle w:val="5"/>
        <w:keepLines w:val="0"/>
        <w:spacing w:before="0" w:after="0" w:line="360" w:lineRule="auto"/>
        <w:ind w:firstLine="422" w:firstLineChars="200"/>
        <w:rPr>
          <w:rFonts w:ascii="宋体"/>
          <w:color w:val="auto"/>
          <w:sz w:val="21"/>
          <w:szCs w:val="21"/>
          <w:highlight w:val="none"/>
          <w:lang w:eastAsia="zh-CN"/>
        </w:rPr>
      </w:pPr>
      <w:bookmarkStart w:id="155" w:name="_Toc29692"/>
      <w:bookmarkStart w:id="156" w:name="bookmark338"/>
      <w:bookmarkStart w:id="157" w:name="bookmark339"/>
      <w:bookmarkStart w:id="158" w:name="_Toc79479598"/>
      <w:bookmarkStart w:id="159" w:name="_Toc5188"/>
      <w:bookmarkStart w:id="160" w:name="bookmark337"/>
      <w:r>
        <w:rPr>
          <w:rFonts w:ascii="宋体" w:hAnsi="宋体" w:cs="宋体"/>
          <w:color w:val="auto"/>
          <w:sz w:val="21"/>
          <w:szCs w:val="21"/>
          <w:highlight w:val="none"/>
          <w:lang w:eastAsia="zh-CN"/>
        </w:rPr>
        <w:t xml:space="preserve">3.4 </w:t>
      </w:r>
      <w:r>
        <w:rPr>
          <w:rFonts w:hint="eastAsia" w:ascii="宋体" w:hAnsi="宋体" w:cs="宋体"/>
          <w:color w:val="auto"/>
          <w:sz w:val="21"/>
          <w:szCs w:val="21"/>
          <w:highlight w:val="none"/>
          <w:lang w:eastAsia="zh-CN"/>
        </w:rPr>
        <w:t>响应保证金</w:t>
      </w:r>
      <w:bookmarkEnd w:id="155"/>
      <w:bookmarkEnd w:id="156"/>
      <w:bookmarkEnd w:id="157"/>
      <w:bookmarkEnd w:id="158"/>
      <w:bookmarkEnd w:id="159"/>
      <w:bookmarkEnd w:id="160"/>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3.4.</w:t>
      </w:r>
      <w:r>
        <w:rPr>
          <w:color w:val="auto"/>
          <w:sz w:val="21"/>
          <w:szCs w:val="21"/>
          <w:highlight w:val="none"/>
        </w:rPr>
        <w:t>1</w:t>
      </w:r>
      <w:r>
        <w:rPr>
          <w:rFonts w:hint="eastAsia"/>
          <w:color w:val="auto"/>
          <w:sz w:val="21"/>
          <w:szCs w:val="21"/>
          <w:highlight w:val="none"/>
        </w:rPr>
        <w:t>供应商须知前附表规定要求递交响应保证金的，供应商在递交响应文件的同时，应按供应商须知前附表规定的金额、形式和采购文件提供的格式</w:t>
      </w:r>
      <w:r>
        <w:rPr>
          <w:color w:val="auto"/>
          <w:sz w:val="21"/>
          <w:szCs w:val="21"/>
          <w:highlight w:val="none"/>
        </w:rPr>
        <w:t>(</w:t>
      </w:r>
      <w:r>
        <w:rPr>
          <w:rFonts w:hint="eastAsia"/>
          <w:color w:val="auto"/>
          <w:sz w:val="21"/>
          <w:szCs w:val="21"/>
          <w:highlight w:val="none"/>
        </w:rPr>
        <w:t>见第六章</w:t>
      </w:r>
      <w:r>
        <w:rPr>
          <w:rFonts w:hint="eastAsia"/>
          <w:color w:val="auto"/>
          <w:sz w:val="21"/>
          <w:szCs w:val="21"/>
          <w:highlight w:val="none"/>
          <w:lang w:val="zh-CN" w:eastAsia="zh-CN"/>
        </w:rPr>
        <w:t>“响</w:t>
      </w:r>
      <w:r>
        <w:rPr>
          <w:rFonts w:hint="eastAsia"/>
          <w:color w:val="auto"/>
          <w:sz w:val="21"/>
          <w:szCs w:val="21"/>
          <w:highlight w:val="none"/>
        </w:rPr>
        <w:t>应文件格式”四、响应保证金</w:t>
      </w:r>
      <w:r>
        <w:rPr>
          <w:color w:val="auto"/>
          <w:sz w:val="21"/>
          <w:szCs w:val="21"/>
          <w:highlight w:val="none"/>
        </w:rPr>
        <w:t>)</w:t>
      </w:r>
      <w:r>
        <w:rPr>
          <w:rFonts w:hint="eastAsia"/>
          <w:color w:val="auto"/>
          <w:sz w:val="21"/>
          <w:szCs w:val="21"/>
          <w:highlight w:val="none"/>
        </w:rPr>
        <w:t>递交响应保证金，并作为其响应文件的组成部分。供应商不按要求递交响应保证金的，其响应文件将被视为无效。</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3.4.2</w:t>
      </w:r>
      <w:r>
        <w:rPr>
          <w:rFonts w:hint="eastAsia"/>
          <w:color w:val="auto"/>
          <w:sz w:val="21"/>
          <w:szCs w:val="21"/>
          <w:highlight w:val="none"/>
        </w:rPr>
        <w:t>除供应商须知前附表另有规定外，采购人将在发出成交通知书后</w:t>
      </w:r>
      <w:r>
        <w:rPr>
          <w:color w:val="auto"/>
          <w:sz w:val="21"/>
          <w:szCs w:val="21"/>
          <w:highlight w:val="none"/>
        </w:rPr>
        <w:t>5</w:t>
      </w:r>
      <w:r>
        <w:rPr>
          <w:rFonts w:hint="eastAsia"/>
          <w:color w:val="auto"/>
          <w:sz w:val="21"/>
          <w:szCs w:val="21"/>
          <w:highlight w:val="none"/>
        </w:rPr>
        <w:t>日内向除候选成交供应商外的其他供应商原额退还响应保证金，并在采购合同签订后</w:t>
      </w:r>
      <w:r>
        <w:rPr>
          <w:color w:val="auto"/>
          <w:sz w:val="21"/>
          <w:szCs w:val="21"/>
          <w:highlight w:val="none"/>
        </w:rPr>
        <w:t>5</w:t>
      </w:r>
      <w:r>
        <w:rPr>
          <w:rFonts w:hint="eastAsia"/>
          <w:color w:val="auto"/>
          <w:sz w:val="21"/>
          <w:szCs w:val="21"/>
          <w:highlight w:val="none"/>
        </w:rPr>
        <w:t>日内向成交供应商和未成交的其他候选成交供应商原额退还响应保证金。釆用银行保函、担保机构担保函、保险机构保险单形式递交的响应保证金，经供应商同意后采购人可以不再退还。</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3.4.3</w:t>
      </w:r>
      <w:r>
        <w:rPr>
          <w:rFonts w:hint="eastAsia"/>
          <w:color w:val="auto"/>
          <w:sz w:val="21"/>
          <w:szCs w:val="21"/>
          <w:highlight w:val="none"/>
        </w:rPr>
        <w:t>有下列情形之一的，响应保证金将不予退还：</w:t>
      </w:r>
    </w:p>
    <w:p>
      <w:pPr>
        <w:pStyle w:val="46"/>
        <w:keepNext/>
        <w:tabs>
          <w:tab w:val="left" w:pos="1002"/>
        </w:tabs>
        <w:spacing w:line="360" w:lineRule="auto"/>
        <w:ind w:firstLine="420" w:firstLineChars="200"/>
        <w:rPr>
          <w:rFonts w:cs="Times New Roman"/>
          <w:color w:val="auto"/>
          <w:sz w:val="21"/>
          <w:szCs w:val="21"/>
          <w:highlight w:val="none"/>
        </w:rPr>
      </w:pPr>
      <w:bookmarkStart w:id="161" w:name="bookmark340"/>
      <w:bookmarkEnd w:id="161"/>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供应商在响应文件有效期内撤销响应文件；</w:t>
      </w:r>
    </w:p>
    <w:p>
      <w:pPr>
        <w:pStyle w:val="46"/>
        <w:keepNext/>
        <w:tabs>
          <w:tab w:val="left" w:pos="1005"/>
        </w:tabs>
        <w:spacing w:line="360" w:lineRule="auto"/>
        <w:ind w:firstLine="420" w:firstLineChars="200"/>
        <w:rPr>
          <w:rFonts w:cs="Times New Roman"/>
          <w:color w:val="auto"/>
          <w:sz w:val="21"/>
          <w:szCs w:val="21"/>
          <w:highlight w:val="none"/>
        </w:rPr>
      </w:pPr>
      <w:bookmarkStart w:id="162" w:name="bookmark341"/>
      <w:bookmarkEnd w:id="162"/>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成交供应商在收到成交通知书后，无正当理由不与采购人订立合同，在签订合同时向采购人提出附加条件，或者不按照采购文件要求递交履约保证金；</w:t>
      </w:r>
    </w:p>
    <w:p>
      <w:pPr>
        <w:pStyle w:val="46"/>
        <w:keepNext/>
        <w:tabs>
          <w:tab w:val="left" w:pos="1002"/>
        </w:tabs>
        <w:spacing w:line="360" w:lineRule="auto"/>
        <w:ind w:firstLine="420" w:firstLineChars="200"/>
        <w:rPr>
          <w:rFonts w:cs="Times New Roman"/>
          <w:color w:val="auto"/>
          <w:sz w:val="21"/>
          <w:szCs w:val="21"/>
          <w:highlight w:val="none"/>
        </w:rPr>
      </w:pPr>
      <w:bookmarkStart w:id="163" w:name="bookmark342"/>
      <w:bookmarkEnd w:id="163"/>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发生供应商须知前附表规定的其他不予退还响应保证金的情形。</w:t>
      </w:r>
    </w:p>
    <w:p>
      <w:pPr>
        <w:pStyle w:val="5"/>
        <w:keepLines w:val="0"/>
        <w:spacing w:before="0" w:after="0" w:line="360" w:lineRule="auto"/>
        <w:ind w:firstLine="422" w:firstLineChars="200"/>
        <w:rPr>
          <w:rFonts w:ascii="宋体"/>
          <w:color w:val="auto"/>
          <w:sz w:val="21"/>
          <w:szCs w:val="21"/>
          <w:highlight w:val="none"/>
          <w:lang w:eastAsia="zh-CN"/>
        </w:rPr>
      </w:pPr>
      <w:bookmarkStart w:id="164" w:name="_Toc79479599"/>
      <w:bookmarkStart w:id="165" w:name="_Toc21215"/>
      <w:bookmarkStart w:id="166" w:name="bookmark344"/>
      <w:bookmarkStart w:id="167" w:name="bookmark345"/>
      <w:bookmarkStart w:id="168" w:name="_Toc28443"/>
      <w:bookmarkStart w:id="169" w:name="bookmark343"/>
      <w:r>
        <w:rPr>
          <w:rFonts w:ascii="宋体" w:hAnsi="宋体" w:cs="宋体"/>
          <w:color w:val="auto"/>
          <w:sz w:val="21"/>
          <w:szCs w:val="21"/>
          <w:highlight w:val="none"/>
          <w:lang w:eastAsia="zh-CN"/>
        </w:rPr>
        <w:t xml:space="preserve">3.5 </w:t>
      </w:r>
      <w:r>
        <w:rPr>
          <w:rFonts w:hint="eastAsia" w:ascii="宋体" w:hAnsi="宋体" w:cs="宋体"/>
          <w:color w:val="auto"/>
          <w:sz w:val="21"/>
          <w:szCs w:val="21"/>
          <w:highlight w:val="none"/>
          <w:lang w:eastAsia="zh-CN"/>
        </w:rPr>
        <w:t>资格审查资料</w:t>
      </w:r>
      <w:bookmarkEnd w:id="164"/>
      <w:bookmarkEnd w:id="165"/>
      <w:bookmarkEnd w:id="166"/>
      <w:bookmarkEnd w:id="167"/>
      <w:bookmarkEnd w:id="168"/>
      <w:bookmarkEnd w:id="169"/>
    </w:p>
    <w:p>
      <w:pPr>
        <w:pStyle w:val="46"/>
        <w:keepNext/>
        <w:spacing w:line="360" w:lineRule="auto"/>
        <w:ind w:firstLine="420" w:firstLineChars="200"/>
        <w:rPr>
          <w:rFonts w:cs="Times New Roman"/>
          <w:color w:val="auto"/>
          <w:sz w:val="21"/>
          <w:szCs w:val="21"/>
          <w:highlight w:val="none"/>
          <w:lang w:val="en-US"/>
        </w:rPr>
      </w:pPr>
      <w:r>
        <w:rPr>
          <w:rFonts w:hint="eastAsia"/>
          <w:color w:val="auto"/>
          <w:sz w:val="21"/>
          <w:szCs w:val="21"/>
          <w:highlight w:val="none"/>
        </w:rPr>
        <w:t>供应商应按供应商须知前附表的规定提供资格审查资料，以证明其满足第一章“询比采购公告”对供应商的各项资格要求。</w:t>
      </w:r>
    </w:p>
    <w:p>
      <w:pPr>
        <w:pStyle w:val="5"/>
        <w:keepLines w:val="0"/>
        <w:spacing w:before="0" w:after="0" w:line="360" w:lineRule="auto"/>
        <w:ind w:firstLine="422" w:firstLineChars="200"/>
        <w:rPr>
          <w:rFonts w:ascii="宋体"/>
          <w:color w:val="auto"/>
          <w:sz w:val="21"/>
          <w:szCs w:val="21"/>
          <w:highlight w:val="none"/>
          <w:lang w:eastAsia="zh-CN"/>
        </w:rPr>
      </w:pPr>
      <w:bookmarkStart w:id="170" w:name="bookmark346"/>
      <w:bookmarkStart w:id="171" w:name="_Toc12635"/>
      <w:bookmarkStart w:id="172" w:name="_Toc79479600"/>
      <w:bookmarkStart w:id="173" w:name="bookmark347"/>
      <w:bookmarkStart w:id="174" w:name="bookmark348"/>
      <w:bookmarkStart w:id="175" w:name="_Toc6941"/>
      <w:r>
        <w:rPr>
          <w:rFonts w:ascii="宋体" w:hAnsi="宋体" w:cs="宋体"/>
          <w:color w:val="auto"/>
          <w:sz w:val="21"/>
          <w:szCs w:val="21"/>
          <w:highlight w:val="none"/>
          <w:lang w:eastAsia="zh-CN"/>
        </w:rPr>
        <w:t xml:space="preserve">3.6 </w:t>
      </w:r>
      <w:r>
        <w:rPr>
          <w:rFonts w:hint="eastAsia" w:ascii="宋体" w:hAnsi="宋体" w:cs="宋体"/>
          <w:color w:val="auto"/>
          <w:sz w:val="21"/>
          <w:szCs w:val="21"/>
          <w:highlight w:val="none"/>
          <w:lang w:eastAsia="zh-CN"/>
        </w:rPr>
        <w:t>响应方案</w:t>
      </w:r>
      <w:bookmarkEnd w:id="170"/>
      <w:bookmarkEnd w:id="171"/>
      <w:bookmarkEnd w:id="172"/>
      <w:bookmarkEnd w:id="173"/>
      <w:bookmarkEnd w:id="174"/>
      <w:bookmarkEnd w:id="175"/>
    </w:p>
    <w:p>
      <w:pPr>
        <w:pStyle w:val="46"/>
        <w:keepNext/>
        <w:spacing w:line="360" w:lineRule="auto"/>
        <w:ind w:firstLine="420" w:firstLineChars="200"/>
        <w:rPr>
          <w:rFonts w:cs="Times New Roman"/>
          <w:color w:val="auto"/>
          <w:sz w:val="21"/>
          <w:szCs w:val="21"/>
          <w:highlight w:val="none"/>
          <w:lang w:eastAsia="zh-CN"/>
        </w:rPr>
      </w:pPr>
      <w:r>
        <w:rPr>
          <w:color w:val="auto"/>
          <w:sz w:val="21"/>
          <w:szCs w:val="21"/>
          <w:highlight w:val="none"/>
          <w:lang w:val="en-US" w:eastAsia="zh-CN"/>
        </w:rPr>
        <w:t>3.6.</w:t>
      </w:r>
      <w:r>
        <w:rPr>
          <w:color w:val="auto"/>
          <w:sz w:val="21"/>
          <w:szCs w:val="21"/>
          <w:highlight w:val="none"/>
        </w:rPr>
        <w:t>1</w:t>
      </w:r>
      <w:r>
        <w:rPr>
          <w:rFonts w:hint="eastAsia"/>
          <w:color w:val="auto"/>
          <w:sz w:val="21"/>
          <w:szCs w:val="21"/>
          <w:highlight w:val="none"/>
        </w:rPr>
        <w:t>响应文件应当对采购文件中的实质性内容作出响应。</w:t>
      </w:r>
    </w:p>
    <w:p>
      <w:pPr>
        <w:pStyle w:val="46"/>
        <w:keepNext/>
        <w:spacing w:line="360" w:lineRule="auto"/>
        <w:ind w:firstLine="420" w:firstLineChars="200"/>
        <w:rPr>
          <w:rFonts w:cs="Times New Roman"/>
          <w:color w:val="auto"/>
          <w:sz w:val="21"/>
          <w:szCs w:val="21"/>
          <w:highlight w:val="none"/>
          <w:lang w:eastAsia="zh-CN"/>
        </w:rPr>
      </w:pPr>
      <w:r>
        <w:rPr>
          <w:color w:val="auto"/>
          <w:sz w:val="21"/>
          <w:szCs w:val="21"/>
          <w:highlight w:val="none"/>
          <w:lang w:val="en-US" w:eastAsia="zh-CN"/>
        </w:rPr>
        <w:t>3.6.2</w:t>
      </w:r>
      <w:r>
        <w:rPr>
          <w:rFonts w:hint="eastAsia"/>
          <w:color w:val="auto"/>
          <w:sz w:val="21"/>
          <w:szCs w:val="21"/>
          <w:highlight w:val="none"/>
          <w:lang w:eastAsia="zh-CN"/>
        </w:rPr>
        <w:t>供应商只能提出唯一的响应方案</w:t>
      </w:r>
      <w:r>
        <w:rPr>
          <w:rFonts w:hint="eastAsia"/>
          <w:color w:val="auto"/>
          <w:sz w:val="21"/>
          <w:szCs w:val="21"/>
          <w:highlight w:val="none"/>
        </w:rPr>
        <w:t>。</w:t>
      </w:r>
      <w:r>
        <w:rPr>
          <w:rFonts w:hint="eastAsia"/>
          <w:color w:val="auto"/>
          <w:sz w:val="21"/>
          <w:szCs w:val="21"/>
          <w:highlight w:val="none"/>
          <w:lang w:eastAsia="zh-CN"/>
        </w:rPr>
        <w:t>供应商在响应文件中提出多个相应方案的，其响应文件将被视为无效。</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3.6.3</w:t>
      </w:r>
      <w:r>
        <w:rPr>
          <w:rFonts w:hint="eastAsia"/>
          <w:color w:val="auto"/>
          <w:sz w:val="21"/>
          <w:szCs w:val="21"/>
          <w:highlight w:val="none"/>
        </w:rPr>
        <w:t>响应文件对采购文件的全部偏差，均应在响应文件的商务和技术偏差表中列明。响应文件偏差表中未列明的内容，将视为</w:t>
      </w:r>
      <w:r>
        <w:rPr>
          <w:rFonts w:hint="eastAsia"/>
          <w:color w:val="auto"/>
          <w:sz w:val="21"/>
          <w:szCs w:val="21"/>
          <w:highlight w:val="none"/>
          <w:lang w:eastAsia="zh-CN"/>
        </w:rPr>
        <w:t>供应商</w:t>
      </w:r>
      <w:r>
        <w:rPr>
          <w:rFonts w:hint="eastAsia"/>
          <w:color w:val="auto"/>
          <w:sz w:val="21"/>
          <w:szCs w:val="21"/>
          <w:highlight w:val="none"/>
        </w:rPr>
        <w:t>响应釆购文件的要求；但如发现响应文件的其他部分与商务和技术偏差表的描述不一致或供应商的响应缺乏支持性文件，则</w:t>
      </w:r>
      <w:r>
        <w:rPr>
          <w:rFonts w:hint="eastAsia"/>
          <w:color w:val="auto"/>
          <w:sz w:val="21"/>
          <w:szCs w:val="21"/>
          <w:highlight w:val="none"/>
          <w:lang w:eastAsia="zh-CN"/>
        </w:rPr>
        <w:t>评审</w:t>
      </w:r>
      <w:r>
        <w:rPr>
          <w:rFonts w:hint="eastAsia"/>
          <w:color w:val="auto"/>
          <w:sz w:val="21"/>
          <w:szCs w:val="21"/>
          <w:highlight w:val="none"/>
        </w:rPr>
        <w:t>小组有权要求供应商对相关问题进行澄清，并根据澄清结果对供应商的响应文件进行评审。</w:t>
      </w:r>
    </w:p>
    <w:p>
      <w:pPr>
        <w:pStyle w:val="5"/>
        <w:keepLines w:val="0"/>
        <w:spacing w:before="0" w:after="0" w:line="360" w:lineRule="auto"/>
        <w:ind w:firstLine="422" w:firstLineChars="200"/>
        <w:rPr>
          <w:rFonts w:ascii="宋体"/>
          <w:color w:val="auto"/>
          <w:sz w:val="21"/>
          <w:szCs w:val="21"/>
          <w:highlight w:val="none"/>
          <w:lang w:eastAsia="zh-CN"/>
        </w:rPr>
      </w:pPr>
      <w:bookmarkStart w:id="176" w:name="bookmark350"/>
      <w:bookmarkStart w:id="177" w:name="bookmark349"/>
      <w:bookmarkStart w:id="178" w:name="bookmark351"/>
      <w:bookmarkStart w:id="179" w:name="_Toc16104"/>
      <w:bookmarkStart w:id="180" w:name="_Toc79479601"/>
      <w:bookmarkStart w:id="181" w:name="_Toc2412"/>
      <w:r>
        <w:rPr>
          <w:rFonts w:ascii="宋体" w:hAnsi="宋体" w:cs="宋体"/>
          <w:color w:val="auto"/>
          <w:sz w:val="21"/>
          <w:szCs w:val="21"/>
          <w:highlight w:val="none"/>
          <w:lang w:eastAsia="zh-CN"/>
        </w:rPr>
        <w:t xml:space="preserve">3.7 </w:t>
      </w:r>
      <w:r>
        <w:rPr>
          <w:rFonts w:hint="eastAsia" w:ascii="宋体" w:hAnsi="宋体" w:cs="宋体"/>
          <w:color w:val="auto"/>
          <w:sz w:val="21"/>
          <w:szCs w:val="21"/>
          <w:highlight w:val="none"/>
          <w:lang w:eastAsia="zh-CN"/>
        </w:rPr>
        <w:t>响应文件的编制</w:t>
      </w:r>
      <w:bookmarkEnd w:id="176"/>
      <w:bookmarkEnd w:id="177"/>
      <w:bookmarkEnd w:id="178"/>
      <w:bookmarkEnd w:id="179"/>
      <w:bookmarkEnd w:id="180"/>
      <w:bookmarkEnd w:id="181"/>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3.7.1</w:t>
      </w:r>
      <w:r>
        <w:rPr>
          <w:rFonts w:hint="eastAsia"/>
          <w:color w:val="auto"/>
          <w:sz w:val="21"/>
          <w:szCs w:val="21"/>
          <w:highlight w:val="none"/>
        </w:rPr>
        <w:t>响应文件应按第六章</w:t>
      </w:r>
      <w:r>
        <w:rPr>
          <w:rFonts w:hint="eastAsia"/>
          <w:color w:val="auto"/>
          <w:sz w:val="21"/>
          <w:szCs w:val="21"/>
          <w:highlight w:val="none"/>
          <w:lang w:val="zh-CN" w:eastAsia="zh-CN"/>
        </w:rPr>
        <w:t>“响</w:t>
      </w:r>
      <w:r>
        <w:rPr>
          <w:rFonts w:hint="eastAsia"/>
          <w:color w:val="auto"/>
          <w:sz w:val="21"/>
          <w:szCs w:val="21"/>
          <w:highlight w:val="none"/>
        </w:rPr>
        <w:t>应文件格式”进行编写，如有必要，可以增加附页</w:t>
      </w:r>
      <w:r>
        <w:rPr>
          <w:color w:val="auto"/>
          <w:sz w:val="21"/>
          <w:szCs w:val="21"/>
          <w:highlight w:val="none"/>
        </w:rPr>
        <w:t>,</w:t>
      </w:r>
      <w:r>
        <w:rPr>
          <w:rFonts w:hint="eastAsia"/>
          <w:color w:val="auto"/>
          <w:sz w:val="21"/>
          <w:szCs w:val="21"/>
          <w:highlight w:val="none"/>
        </w:rPr>
        <w:t>作为响应文件的组成部分。</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3.7.2</w:t>
      </w:r>
      <w:r>
        <w:rPr>
          <w:rFonts w:hint="eastAsia"/>
          <w:color w:val="auto"/>
          <w:sz w:val="21"/>
          <w:szCs w:val="21"/>
          <w:highlight w:val="none"/>
        </w:rPr>
        <w:t>响应文件应用不褪色的材料书写或打印。</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响应函应由供应商的法定代表人（单位负责人）或其授权的代理人签字并加盖单位章。</w:t>
      </w:r>
    </w:p>
    <w:p>
      <w:pPr>
        <w:pStyle w:val="46"/>
        <w:keepNext/>
        <w:spacing w:line="360" w:lineRule="auto"/>
        <w:ind w:firstLine="420" w:firstLineChars="200"/>
        <w:rPr>
          <w:rFonts w:cs="Times New Roman"/>
          <w:color w:val="auto"/>
          <w:sz w:val="21"/>
          <w:szCs w:val="21"/>
          <w:highlight w:val="none"/>
          <w:lang w:eastAsia="zh-CN"/>
        </w:rPr>
      </w:pPr>
      <w:r>
        <w:rPr>
          <w:rFonts w:hint="eastAsia"/>
          <w:color w:val="auto"/>
          <w:sz w:val="21"/>
          <w:szCs w:val="21"/>
          <w:highlight w:val="none"/>
        </w:rPr>
        <w:t>响应函由代理人签字的，应在响应文件中附授权委托书</w:t>
      </w:r>
      <w:r>
        <w:rPr>
          <w:color w:val="auto"/>
          <w:sz w:val="21"/>
          <w:szCs w:val="21"/>
          <w:highlight w:val="none"/>
        </w:rPr>
        <w:t>,</w:t>
      </w:r>
      <w:r>
        <w:rPr>
          <w:rFonts w:hint="eastAsia"/>
          <w:color w:val="auto"/>
          <w:sz w:val="21"/>
          <w:szCs w:val="21"/>
          <w:highlight w:val="none"/>
        </w:rPr>
        <w:t>授权委托书应由供应商的法定代表人（单位负责人）签字并加盖单位章。</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3.7.3</w:t>
      </w:r>
      <w:r>
        <w:rPr>
          <w:rFonts w:hint="eastAsia"/>
          <w:color w:val="auto"/>
          <w:sz w:val="21"/>
          <w:szCs w:val="21"/>
          <w:highlight w:val="none"/>
          <w:lang w:eastAsia="zh-CN"/>
        </w:rPr>
        <w:t>评审过程</w:t>
      </w:r>
      <w:r>
        <w:rPr>
          <w:rFonts w:hint="eastAsia"/>
          <w:color w:val="auto"/>
          <w:sz w:val="21"/>
          <w:szCs w:val="21"/>
          <w:highlight w:val="none"/>
        </w:rPr>
        <w:t>中供应商对响应文件的澄清、说明和补正应由供应商</w:t>
      </w:r>
      <w:r>
        <w:rPr>
          <w:rFonts w:hint="eastAsia"/>
          <w:color w:val="auto"/>
          <w:sz w:val="21"/>
          <w:szCs w:val="21"/>
          <w:highlight w:val="none"/>
          <w:lang w:eastAsia="zh-CN"/>
        </w:rPr>
        <w:t>的法定代表人（单位负责人）</w:t>
      </w:r>
      <w:r>
        <w:rPr>
          <w:rFonts w:hint="eastAsia"/>
          <w:color w:val="auto"/>
          <w:sz w:val="21"/>
          <w:szCs w:val="21"/>
          <w:highlight w:val="none"/>
        </w:rPr>
        <w:t>或其授权的代理人签字或加盖单位章。</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3.7.4</w:t>
      </w:r>
      <w:r>
        <w:rPr>
          <w:rFonts w:hint="eastAsia"/>
          <w:color w:val="auto"/>
          <w:sz w:val="21"/>
          <w:szCs w:val="21"/>
          <w:highlight w:val="none"/>
        </w:rPr>
        <w:t>响应文件应尽量避免涂改、行间插字或删除。如果出现上述情况，改动之处应由供应商的法定代表人（单位负责人）或其授权的代理人签字或加盖单位章。</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3.7.5</w:t>
      </w:r>
      <w:r>
        <w:rPr>
          <w:rFonts w:hint="eastAsia"/>
          <w:color w:val="auto"/>
          <w:sz w:val="21"/>
          <w:szCs w:val="21"/>
          <w:highlight w:val="none"/>
        </w:rPr>
        <w:t>响应文件正本一份，副本份数见供应商须知前附表。正本和副本的封面右上角应清楚地标记</w:t>
      </w:r>
      <w:r>
        <w:rPr>
          <w:rFonts w:hint="eastAsia"/>
          <w:color w:val="auto"/>
          <w:sz w:val="21"/>
          <w:szCs w:val="21"/>
          <w:highlight w:val="none"/>
          <w:lang w:val="zh-CN" w:eastAsia="zh-CN"/>
        </w:rPr>
        <w:t>“正</w:t>
      </w:r>
      <w:r>
        <w:rPr>
          <w:rFonts w:hint="eastAsia"/>
          <w:color w:val="auto"/>
          <w:sz w:val="21"/>
          <w:szCs w:val="21"/>
          <w:highlight w:val="none"/>
        </w:rPr>
        <w:t>本”或</w:t>
      </w:r>
      <w:r>
        <w:rPr>
          <w:rFonts w:hint="eastAsia"/>
          <w:color w:val="auto"/>
          <w:sz w:val="21"/>
          <w:szCs w:val="21"/>
          <w:highlight w:val="none"/>
          <w:lang w:val="zh-CN" w:eastAsia="zh-CN"/>
        </w:rPr>
        <w:t>“副</w:t>
      </w:r>
      <w:r>
        <w:rPr>
          <w:rFonts w:hint="eastAsia"/>
          <w:color w:val="auto"/>
          <w:sz w:val="21"/>
          <w:szCs w:val="21"/>
          <w:highlight w:val="none"/>
        </w:rPr>
        <w:t>本”的字样。供应商应根据供应商须知前附表要求提供电子版文件。当副本和正本不一致，或电子版文件和纸质正本文件不一致时，以纸质正本文件为准。</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3.7.6</w:t>
      </w:r>
      <w:r>
        <w:rPr>
          <w:rFonts w:hint="eastAsia"/>
          <w:color w:val="auto"/>
          <w:sz w:val="21"/>
          <w:szCs w:val="21"/>
          <w:highlight w:val="none"/>
        </w:rPr>
        <w:t>响应文件的正本与副本应分别装订，并编制目录。响应文件需分册装订的，具体分册装订要求见供应商须知前附表规定。</w:t>
      </w:r>
    </w:p>
    <w:p>
      <w:pPr>
        <w:pStyle w:val="4"/>
        <w:keepLines w:val="0"/>
        <w:spacing w:before="0" w:after="0" w:line="360" w:lineRule="auto"/>
        <w:ind w:firstLine="422" w:firstLineChars="200"/>
        <w:rPr>
          <w:rFonts w:ascii="宋体"/>
          <w:color w:val="auto"/>
          <w:sz w:val="21"/>
          <w:szCs w:val="21"/>
          <w:highlight w:val="none"/>
          <w:lang w:eastAsia="zh-CN"/>
        </w:rPr>
      </w:pPr>
      <w:bookmarkStart w:id="182" w:name="_Toc7232"/>
      <w:bookmarkStart w:id="183" w:name="bookmark354"/>
      <w:bookmarkStart w:id="184" w:name="bookmark353"/>
      <w:bookmarkStart w:id="185" w:name="_Toc79479602"/>
      <w:bookmarkStart w:id="186" w:name="bookmark352"/>
      <w:bookmarkStart w:id="187" w:name="_Toc8022"/>
      <w:r>
        <w:rPr>
          <w:rFonts w:ascii="宋体" w:hAnsi="宋体" w:cs="宋体"/>
          <w:color w:val="auto"/>
          <w:sz w:val="21"/>
          <w:szCs w:val="21"/>
          <w:highlight w:val="none"/>
          <w:lang w:eastAsia="zh-CN"/>
        </w:rPr>
        <w:t xml:space="preserve">4 </w:t>
      </w:r>
      <w:r>
        <w:rPr>
          <w:rFonts w:hint="eastAsia" w:ascii="宋体" w:hAnsi="宋体" w:cs="宋体"/>
          <w:color w:val="auto"/>
          <w:sz w:val="21"/>
          <w:szCs w:val="21"/>
          <w:highlight w:val="none"/>
          <w:lang w:eastAsia="zh-CN"/>
        </w:rPr>
        <w:t>响应文件的递交</w:t>
      </w:r>
      <w:bookmarkEnd w:id="182"/>
      <w:bookmarkEnd w:id="183"/>
      <w:bookmarkEnd w:id="184"/>
      <w:bookmarkEnd w:id="185"/>
      <w:bookmarkEnd w:id="186"/>
      <w:bookmarkEnd w:id="187"/>
    </w:p>
    <w:p>
      <w:pPr>
        <w:pStyle w:val="5"/>
        <w:keepLines w:val="0"/>
        <w:spacing w:before="0" w:after="0" w:line="360" w:lineRule="auto"/>
        <w:ind w:firstLine="422" w:firstLineChars="200"/>
        <w:rPr>
          <w:rFonts w:ascii="宋体"/>
          <w:color w:val="auto"/>
          <w:sz w:val="21"/>
          <w:szCs w:val="21"/>
          <w:highlight w:val="none"/>
          <w:lang w:eastAsia="zh-CN"/>
        </w:rPr>
      </w:pPr>
      <w:bookmarkStart w:id="188" w:name="bookmark355"/>
      <w:bookmarkStart w:id="189" w:name="_Toc79479603"/>
      <w:bookmarkStart w:id="190" w:name="bookmark356"/>
      <w:bookmarkStart w:id="191" w:name="_Toc10622"/>
      <w:bookmarkStart w:id="192" w:name="bookmark357"/>
      <w:bookmarkStart w:id="193" w:name="_Toc22835"/>
      <w:r>
        <w:rPr>
          <w:rFonts w:ascii="宋体" w:hAnsi="宋体" w:cs="宋体"/>
          <w:color w:val="auto"/>
          <w:sz w:val="21"/>
          <w:szCs w:val="21"/>
          <w:highlight w:val="none"/>
          <w:lang w:eastAsia="zh-CN"/>
        </w:rPr>
        <w:t xml:space="preserve">4.1 </w:t>
      </w:r>
      <w:r>
        <w:rPr>
          <w:rFonts w:hint="eastAsia" w:ascii="宋体" w:hAnsi="宋体" w:cs="宋体"/>
          <w:color w:val="auto"/>
          <w:sz w:val="21"/>
          <w:szCs w:val="21"/>
          <w:highlight w:val="none"/>
          <w:lang w:eastAsia="zh-CN"/>
        </w:rPr>
        <w:t>响应文件的包装与标记</w:t>
      </w:r>
      <w:bookmarkEnd w:id="188"/>
      <w:bookmarkEnd w:id="189"/>
      <w:bookmarkEnd w:id="190"/>
      <w:bookmarkEnd w:id="191"/>
      <w:bookmarkEnd w:id="192"/>
      <w:bookmarkEnd w:id="193"/>
    </w:p>
    <w:p>
      <w:pPr>
        <w:pStyle w:val="46"/>
        <w:keepNext/>
        <w:tabs>
          <w:tab w:val="left" w:pos="358"/>
        </w:tabs>
        <w:spacing w:line="360" w:lineRule="auto"/>
        <w:ind w:firstLine="420" w:firstLineChars="200"/>
        <w:rPr>
          <w:rFonts w:cs="Times New Roman"/>
          <w:color w:val="auto"/>
          <w:sz w:val="21"/>
          <w:szCs w:val="21"/>
          <w:highlight w:val="none"/>
          <w:lang w:eastAsia="zh-CN"/>
        </w:rPr>
      </w:pPr>
      <w:bookmarkStart w:id="194" w:name="bookmark358"/>
      <w:bookmarkEnd w:id="194"/>
      <w:r>
        <w:rPr>
          <w:color w:val="auto"/>
          <w:sz w:val="21"/>
          <w:szCs w:val="21"/>
          <w:highlight w:val="none"/>
          <w:lang w:val="en-US" w:eastAsia="zh-CN"/>
        </w:rPr>
        <w:t>4.1.1</w:t>
      </w:r>
      <w:r>
        <w:rPr>
          <w:rFonts w:hint="eastAsia"/>
          <w:color w:val="auto"/>
          <w:sz w:val="21"/>
          <w:szCs w:val="21"/>
          <w:highlight w:val="none"/>
        </w:rPr>
        <w:t>响应文件应</w:t>
      </w:r>
      <w:r>
        <w:rPr>
          <w:rFonts w:hint="eastAsia"/>
          <w:color w:val="auto"/>
          <w:sz w:val="21"/>
          <w:szCs w:val="21"/>
          <w:highlight w:val="none"/>
          <w:lang w:eastAsia="zh-CN"/>
        </w:rPr>
        <w:t>密封</w:t>
      </w:r>
      <w:r>
        <w:rPr>
          <w:rFonts w:hint="eastAsia"/>
          <w:color w:val="auto"/>
          <w:sz w:val="21"/>
          <w:szCs w:val="21"/>
          <w:highlight w:val="none"/>
        </w:rPr>
        <w:t>包装。</w:t>
      </w:r>
      <w:bookmarkStart w:id="195" w:name="bookmark359"/>
      <w:bookmarkEnd w:id="195"/>
      <w:r>
        <w:rPr>
          <w:rFonts w:hint="eastAsia"/>
          <w:color w:val="auto"/>
          <w:sz w:val="21"/>
          <w:szCs w:val="21"/>
          <w:highlight w:val="none"/>
        </w:rPr>
        <w:t>未</w:t>
      </w:r>
      <w:r>
        <w:rPr>
          <w:rFonts w:hint="eastAsia"/>
          <w:color w:val="auto"/>
          <w:sz w:val="21"/>
          <w:szCs w:val="21"/>
          <w:highlight w:val="none"/>
          <w:lang w:eastAsia="zh-CN"/>
        </w:rPr>
        <w:t>密封的响应文件，采购人将拒绝接受</w:t>
      </w:r>
    </w:p>
    <w:p>
      <w:pPr>
        <w:pStyle w:val="46"/>
        <w:keepNext/>
        <w:tabs>
          <w:tab w:val="left" w:pos="358"/>
        </w:tabs>
        <w:spacing w:line="360" w:lineRule="auto"/>
        <w:ind w:firstLine="420" w:firstLineChars="200"/>
        <w:rPr>
          <w:rFonts w:cs="Times New Roman"/>
          <w:color w:val="auto"/>
          <w:sz w:val="21"/>
          <w:szCs w:val="21"/>
          <w:highlight w:val="none"/>
        </w:rPr>
      </w:pPr>
      <w:r>
        <w:rPr>
          <w:color w:val="auto"/>
          <w:sz w:val="21"/>
          <w:szCs w:val="21"/>
          <w:highlight w:val="none"/>
          <w:lang w:val="en-US" w:eastAsia="zh-CN"/>
        </w:rPr>
        <w:t>4.1.2</w:t>
      </w:r>
      <w:r>
        <w:rPr>
          <w:rFonts w:hint="eastAsia"/>
          <w:color w:val="auto"/>
          <w:sz w:val="21"/>
          <w:szCs w:val="21"/>
          <w:highlight w:val="none"/>
        </w:rPr>
        <w:t>响应文件封套上应载明的内容见供应商须知前附表。</w:t>
      </w:r>
    </w:p>
    <w:p>
      <w:pPr>
        <w:pStyle w:val="5"/>
        <w:keepLines w:val="0"/>
        <w:spacing w:before="0" w:after="0" w:line="360" w:lineRule="auto"/>
        <w:ind w:firstLine="422" w:firstLineChars="200"/>
        <w:rPr>
          <w:rFonts w:ascii="宋体"/>
          <w:color w:val="auto"/>
          <w:sz w:val="21"/>
          <w:szCs w:val="21"/>
          <w:highlight w:val="none"/>
          <w:lang w:eastAsia="zh-CN"/>
        </w:rPr>
      </w:pPr>
      <w:bookmarkStart w:id="196" w:name="_Toc30463"/>
      <w:bookmarkStart w:id="197" w:name="bookmark360"/>
      <w:bookmarkStart w:id="198" w:name="bookmark362"/>
      <w:bookmarkStart w:id="199" w:name="bookmark361"/>
      <w:bookmarkStart w:id="200" w:name="_Toc79479604"/>
      <w:bookmarkStart w:id="201" w:name="_Toc21412"/>
      <w:r>
        <w:rPr>
          <w:rFonts w:ascii="宋体" w:hAnsi="宋体" w:cs="宋体"/>
          <w:color w:val="auto"/>
          <w:sz w:val="21"/>
          <w:szCs w:val="21"/>
          <w:highlight w:val="none"/>
          <w:lang w:eastAsia="zh-CN"/>
        </w:rPr>
        <w:t xml:space="preserve">4.2 </w:t>
      </w:r>
      <w:r>
        <w:rPr>
          <w:rFonts w:hint="eastAsia" w:ascii="宋体" w:hAnsi="宋体" w:cs="宋体"/>
          <w:color w:val="auto"/>
          <w:sz w:val="21"/>
          <w:szCs w:val="21"/>
          <w:highlight w:val="none"/>
          <w:lang w:eastAsia="zh-CN"/>
        </w:rPr>
        <w:t>响应文件的递交</w:t>
      </w:r>
      <w:bookmarkEnd w:id="196"/>
      <w:bookmarkEnd w:id="197"/>
      <w:bookmarkEnd w:id="198"/>
      <w:bookmarkEnd w:id="199"/>
      <w:bookmarkEnd w:id="200"/>
      <w:bookmarkEnd w:id="201"/>
    </w:p>
    <w:p>
      <w:pPr>
        <w:pStyle w:val="46"/>
        <w:keepNext/>
        <w:tabs>
          <w:tab w:val="left" w:pos="358"/>
        </w:tabs>
        <w:spacing w:line="360" w:lineRule="auto"/>
        <w:ind w:firstLine="420" w:firstLineChars="200"/>
        <w:rPr>
          <w:rFonts w:cs="Times New Roman"/>
          <w:color w:val="auto"/>
          <w:sz w:val="21"/>
          <w:szCs w:val="21"/>
          <w:highlight w:val="none"/>
        </w:rPr>
      </w:pPr>
      <w:bookmarkStart w:id="202" w:name="bookmark363"/>
      <w:bookmarkEnd w:id="202"/>
      <w:r>
        <w:rPr>
          <w:color w:val="auto"/>
          <w:sz w:val="21"/>
          <w:szCs w:val="21"/>
          <w:highlight w:val="none"/>
          <w:lang w:val="en-US" w:eastAsia="zh-CN"/>
        </w:rPr>
        <w:t>4.2.</w:t>
      </w:r>
      <w:r>
        <w:rPr>
          <w:color w:val="auto"/>
          <w:sz w:val="21"/>
          <w:szCs w:val="21"/>
          <w:highlight w:val="none"/>
        </w:rPr>
        <w:t>1</w:t>
      </w:r>
      <w:r>
        <w:rPr>
          <w:rFonts w:hint="eastAsia"/>
          <w:color w:val="auto"/>
          <w:sz w:val="21"/>
          <w:szCs w:val="21"/>
          <w:highlight w:val="none"/>
        </w:rPr>
        <w:t>供应商应在供应商须知前附表规定的递交响应文件的截止时间前，将响应文件递交到供应商须知前附表规定的地点。逾期送达的或者未送达指定地点的响应文件</w:t>
      </w:r>
      <w:r>
        <w:rPr>
          <w:color w:val="auto"/>
          <w:sz w:val="21"/>
          <w:szCs w:val="21"/>
          <w:highlight w:val="none"/>
        </w:rPr>
        <w:t>,</w:t>
      </w:r>
      <w:r>
        <w:rPr>
          <w:rFonts w:hint="eastAsia"/>
          <w:color w:val="auto"/>
          <w:sz w:val="21"/>
          <w:szCs w:val="21"/>
          <w:highlight w:val="none"/>
        </w:rPr>
        <w:t>采购人将拒绝接收。采购人收到响应文件后，向供应商出具接收凭证。</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4.2.2</w:t>
      </w:r>
      <w:r>
        <w:rPr>
          <w:rFonts w:hint="eastAsia"/>
          <w:color w:val="auto"/>
          <w:sz w:val="21"/>
          <w:szCs w:val="21"/>
          <w:highlight w:val="none"/>
        </w:rPr>
        <w:t>除供应商须知前附表另有规定外，供应商所递交的响应文件不予退还。</w:t>
      </w:r>
    </w:p>
    <w:p>
      <w:pPr>
        <w:pStyle w:val="5"/>
        <w:keepLines w:val="0"/>
        <w:spacing w:before="0" w:after="0" w:line="360" w:lineRule="auto"/>
        <w:ind w:firstLine="422" w:firstLineChars="200"/>
        <w:rPr>
          <w:rFonts w:ascii="宋体"/>
          <w:color w:val="auto"/>
          <w:sz w:val="21"/>
          <w:szCs w:val="21"/>
          <w:highlight w:val="none"/>
          <w:lang w:eastAsia="zh-CN"/>
        </w:rPr>
      </w:pPr>
      <w:bookmarkStart w:id="203" w:name="_Toc16611"/>
      <w:bookmarkStart w:id="204" w:name="_Toc79479605"/>
      <w:bookmarkStart w:id="205" w:name="bookmark364"/>
      <w:bookmarkStart w:id="206" w:name="bookmark365"/>
      <w:bookmarkStart w:id="207" w:name="bookmark366"/>
      <w:bookmarkStart w:id="208" w:name="_Toc23165"/>
      <w:r>
        <w:rPr>
          <w:rFonts w:ascii="宋体" w:hAnsi="宋体" w:cs="宋体"/>
          <w:color w:val="auto"/>
          <w:sz w:val="21"/>
          <w:szCs w:val="21"/>
          <w:highlight w:val="none"/>
          <w:lang w:eastAsia="zh-CN"/>
        </w:rPr>
        <w:t xml:space="preserve">4.3 </w:t>
      </w:r>
      <w:r>
        <w:rPr>
          <w:rFonts w:hint="eastAsia" w:ascii="宋体" w:hAnsi="宋体" w:cs="宋体"/>
          <w:color w:val="auto"/>
          <w:sz w:val="21"/>
          <w:szCs w:val="21"/>
          <w:highlight w:val="none"/>
          <w:lang w:eastAsia="zh-CN"/>
        </w:rPr>
        <w:t>响应文件的修改与撤回</w:t>
      </w:r>
      <w:bookmarkEnd w:id="203"/>
      <w:bookmarkEnd w:id="204"/>
      <w:bookmarkEnd w:id="205"/>
      <w:bookmarkEnd w:id="206"/>
      <w:bookmarkEnd w:id="207"/>
      <w:bookmarkEnd w:id="208"/>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4.3.</w:t>
      </w:r>
      <w:r>
        <w:rPr>
          <w:color w:val="auto"/>
          <w:sz w:val="21"/>
          <w:szCs w:val="21"/>
          <w:highlight w:val="none"/>
        </w:rPr>
        <w:t>1</w:t>
      </w:r>
      <w:r>
        <w:rPr>
          <w:rFonts w:hint="eastAsia"/>
          <w:color w:val="auto"/>
          <w:sz w:val="21"/>
          <w:szCs w:val="21"/>
          <w:highlight w:val="none"/>
        </w:rPr>
        <w:t>在本章第</w:t>
      </w:r>
      <w:r>
        <w:rPr>
          <w:color w:val="auto"/>
          <w:sz w:val="21"/>
          <w:szCs w:val="21"/>
          <w:highlight w:val="none"/>
          <w:lang w:val="en-US" w:eastAsia="zh-CN"/>
        </w:rPr>
        <w:t>4.2.</w:t>
      </w:r>
      <w:r>
        <w:rPr>
          <w:color w:val="auto"/>
          <w:sz w:val="21"/>
          <w:szCs w:val="21"/>
          <w:highlight w:val="none"/>
        </w:rPr>
        <w:t>1</w:t>
      </w:r>
      <w:r>
        <w:rPr>
          <w:rFonts w:hint="eastAsia"/>
          <w:color w:val="auto"/>
          <w:sz w:val="21"/>
          <w:szCs w:val="21"/>
          <w:highlight w:val="none"/>
        </w:rPr>
        <w:t>项规定的递交响应文件的截止时间前，供应商可以修改或撤回已递交的响应文件，但应以书面形式通知采购人。</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4.3.</w:t>
      </w:r>
      <w:r>
        <w:rPr>
          <w:color w:val="auto"/>
          <w:sz w:val="21"/>
          <w:szCs w:val="21"/>
          <w:highlight w:val="none"/>
        </w:rPr>
        <w:t>2</w:t>
      </w:r>
      <w:r>
        <w:rPr>
          <w:rFonts w:hint="eastAsia"/>
          <w:color w:val="auto"/>
          <w:sz w:val="21"/>
          <w:szCs w:val="21"/>
          <w:highlight w:val="none"/>
        </w:rPr>
        <w:t>响应文件的修改文件或供应商撤回已递交响应文件的书面通知应由供应商的法定代表人</w:t>
      </w:r>
      <w:r>
        <w:rPr>
          <w:color w:val="auto"/>
          <w:sz w:val="21"/>
          <w:szCs w:val="21"/>
          <w:highlight w:val="none"/>
        </w:rPr>
        <w:t>(</w:t>
      </w:r>
      <w:r>
        <w:rPr>
          <w:rFonts w:hint="eastAsia"/>
          <w:color w:val="auto"/>
          <w:sz w:val="21"/>
          <w:szCs w:val="21"/>
          <w:highlight w:val="none"/>
        </w:rPr>
        <w:t>单位负责人</w:t>
      </w:r>
      <w:r>
        <w:rPr>
          <w:color w:val="auto"/>
          <w:sz w:val="21"/>
          <w:szCs w:val="21"/>
          <w:highlight w:val="none"/>
        </w:rPr>
        <w:t>)</w:t>
      </w:r>
      <w:r>
        <w:rPr>
          <w:rFonts w:hint="eastAsia"/>
          <w:color w:val="auto"/>
          <w:sz w:val="21"/>
          <w:szCs w:val="21"/>
          <w:highlight w:val="none"/>
        </w:rPr>
        <w:t>或其授权的代理人签字并加盖单位章。采购人收到供应商修改响应文件的书面文件后，向供应商出具接收凭证；釆购人收到供应商撤回响应文件的书面通知后，退回供应商的响应文件。</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4.3.3</w:t>
      </w:r>
      <w:r>
        <w:rPr>
          <w:rFonts w:hint="eastAsia"/>
          <w:color w:val="auto"/>
          <w:sz w:val="21"/>
          <w:szCs w:val="21"/>
          <w:highlight w:val="none"/>
        </w:rPr>
        <w:t>除供应商须知前附表另有规定外，供应商撤回响应文件的，采购人应在</w:t>
      </w:r>
      <w:r>
        <w:rPr>
          <w:color w:val="auto"/>
          <w:sz w:val="21"/>
          <w:szCs w:val="21"/>
          <w:highlight w:val="none"/>
        </w:rPr>
        <w:t>5</w:t>
      </w:r>
      <w:r>
        <w:rPr>
          <w:rFonts w:hint="eastAsia"/>
          <w:color w:val="auto"/>
          <w:sz w:val="21"/>
          <w:szCs w:val="21"/>
          <w:highlight w:val="none"/>
        </w:rPr>
        <w:t>日内退还已收取的响应保证金。</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4.3.4</w:t>
      </w:r>
      <w:r>
        <w:rPr>
          <w:rFonts w:hint="eastAsia"/>
          <w:color w:val="auto"/>
          <w:sz w:val="21"/>
          <w:szCs w:val="21"/>
          <w:highlight w:val="none"/>
        </w:rPr>
        <w:t>修改的内容为响应文件的组成部分。响应文件的修改文件应按照本章第</w:t>
      </w:r>
      <w:r>
        <w:rPr>
          <w:color w:val="auto"/>
          <w:sz w:val="21"/>
          <w:szCs w:val="21"/>
          <w:highlight w:val="none"/>
        </w:rPr>
        <w:t>3</w:t>
      </w:r>
      <w:r>
        <w:rPr>
          <w:rFonts w:hint="eastAsia"/>
          <w:color w:val="auto"/>
          <w:sz w:val="21"/>
          <w:szCs w:val="21"/>
          <w:highlight w:val="none"/>
        </w:rPr>
        <w:t>条、第</w:t>
      </w:r>
      <w:r>
        <w:rPr>
          <w:color w:val="auto"/>
          <w:sz w:val="21"/>
          <w:szCs w:val="21"/>
          <w:highlight w:val="none"/>
        </w:rPr>
        <w:t>4</w:t>
      </w:r>
      <w:r>
        <w:rPr>
          <w:rFonts w:hint="eastAsia"/>
          <w:color w:val="auto"/>
          <w:sz w:val="21"/>
          <w:szCs w:val="21"/>
          <w:highlight w:val="none"/>
        </w:rPr>
        <w:t>条的规定进行编制、包装、标记和递交，并标明</w:t>
      </w:r>
      <w:r>
        <w:rPr>
          <w:rFonts w:hint="eastAsia"/>
          <w:color w:val="auto"/>
          <w:sz w:val="21"/>
          <w:szCs w:val="21"/>
          <w:highlight w:val="none"/>
          <w:lang w:val="zh-CN" w:eastAsia="zh-CN"/>
        </w:rPr>
        <w:t>“修</w:t>
      </w:r>
      <w:r>
        <w:rPr>
          <w:rFonts w:hint="eastAsia"/>
          <w:color w:val="auto"/>
          <w:sz w:val="21"/>
          <w:szCs w:val="21"/>
          <w:highlight w:val="none"/>
        </w:rPr>
        <w:t>改”字样。</w:t>
      </w:r>
    </w:p>
    <w:p>
      <w:pPr>
        <w:pStyle w:val="4"/>
        <w:keepLines w:val="0"/>
        <w:spacing w:before="0" w:after="0" w:line="360" w:lineRule="auto"/>
        <w:ind w:firstLine="422" w:firstLineChars="200"/>
        <w:rPr>
          <w:rFonts w:ascii="宋体"/>
          <w:color w:val="auto"/>
          <w:sz w:val="21"/>
          <w:szCs w:val="21"/>
          <w:highlight w:val="none"/>
          <w:lang w:eastAsia="zh-CN"/>
        </w:rPr>
      </w:pPr>
      <w:bookmarkStart w:id="209" w:name="_Toc10510"/>
      <w:bookmarkStart w:id="210" w:name="_Toc1349"/>
      <w:bookmarkStart w:id="211" w:name="bookmark367"/>
      <w:bookmarkStart w:id="212" w:name="bookmark368"/>
      <w:bookmarkStart w:id="213" w:name="_Toc79479606"/>
      <w:bookmarkStart w:id="214" w:name="bookmark369"/>
      <w:r>
        <w:rPr>
          <w:rFonts w:ascii="宋体" w:hAnsi="宋体" w:cs="宋体"/>
          <w:color w:val="auto"/>
          <w:sz w:val="21"/>
          <w:szCs w:val="21"/>
          <w:highlight w:val="none"/>
          <w:lang w:eastAsia="zh-CN"/>
        </w:rPr>
        <w:t xml:space="preserve">5 </w:t>
      </w:r>
      <w:r>
        <w:rPr>
          <w:rFonts w:hint="eastAsia" w:ascii="宋体" w:hAnsi="宋体" w:cs="宋体"/>
          <w:color w:val="auto"/>
          <w:sz w:val="21"/>
          <w:szCs w:val="21"/>
          <w:highlight w:val="none"/>
          <w:lang w:eastAsia="zh-CN"/>
        </w:rPr>
        <w:t>开启响应文件</w:t>
      </w:r>
      <w:bookmarkEnd w:id="209"/>
      <w:bookmarkEnd w:id="210"/>
      <w:bookmarkEnd w:id="211"/>
      <w:bookmarkEnd w:id="212"/>
      <w:bookmarkEnd w:id="213"/>
      <w:bookmarkEnd w:id="214"/>
    </w:p>
    <w:p>
      <w:pPr>
        <w:pStyle w:val="5"/>
        <w:keepLines w:val="0"/>
        <w:spacing w:before="0" w:after="0" w:line="360" w:lineRule="auto"/>
        <w:ind w:firstLine="422" w:firstLineChars="200"/>
        <w:rPr>
          <w:rFonts w:ascii="宋体"/>
          <w:color w:val="auto"/>
          <w:sz w:val="21"/>
          <w:szCs w:val="21"/>
          <w:highlight w:val="none"/>
          <w:lang w:eastAsia="zh-CN"/>
        </w:rPr>
      </w:pPr>
      <w:bookmarkStart w:id="215" w:name="bookmark371"/>
      <w:bookmarkStart w:id="216" w:name="_Toc6503"/>
      <w:bookmarkStart w:id="217" w:name="bookmark370"/>
      <w:bookmarkStart w:id="218" w:name="_Toc20471"/>
      <w:bookmarkStart w:id="219" w:name="_Toc79479607"/>
      <w:bookmarkStart w:id="220" w:name="bookmark372"/>
      <w:r>
        <w:rPr>
          <w:rFonts w:ascii="宋体" w:hAnsi="宋体" w:cs="宋体"/>
          <w:color w:val="auto"/>
          <w:sz w:val="21"/>
          <w:szCs w:val="21"/>
          <w:highlight w:val="none"/>
          <w:lang w:eastAsia="zh-CN"/>
        </w:rPr>
        <w:t xml:space="preserve">5.1 </w:t>
      </w:r>
      <w:r>
        <w:rPr>
          <w:rFonts w:hint="eastAsia" w:ascii="宋体" w:hAnsi="宋体" w:cs="宋体"/>
          <w:color w:val="auto"/>
          <w:sz w:val="21"/>
          <w:szCs w:val="21"/>
          <w:highlight w:val="none"/>
          <w:lang w:eastAsia="zh-CN"/>
        </w:rPr>
        <w:t>开启响应文件的时间和地点</w:t>
      </w:r>
      <w:bookmarkEnd w:id="215"/>
      <w:bookmarkEnd w:id="216"/>
      <w:bookmarkEnd w:id="217"/>
      <w:bookmarkEnd w:id="218"/>
      <w:bookmarkEnd w:id="219"/>
      <w:bookmarkEnd w:id="220"/>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采购人在本章第</w:t>
      </w:r>
      <w:r>
        <w:rPr>
          <w:color w:val="auto"/>
          <w:sz w:val="21"/>
          <w:szCs w:val="21"/>
          <w:highlight w:val="none"/>
          <w:lang w:val="en-US" w:eastAsia="zh-CN"/>
        </w:rPr>
        <w:t>4.2.</w:t>
      </w:r>
      <w:r>
        <w:rPr>
          <w:color w:val="auto"/>
          <w:sz w:val="21"/>
          <w:szCs w:val="21"/>
          <w:highlight w:val="none"/>
        </w:rPr>
        <w:t>1</w:t>
      </w:r>
      <w:r>
        <w:rPr>
          <w:rFonts w:hint="eastAsia"/>
          <w:color w:val="auto"/>
          <w:sz w:val="21"/>
          <w:szCs w:val="21"/>
          <w:highlight w:val="none"/>
        </w:rPr>
        <w:t>项规定的递交响应文件的截止时间和地点公开开启响应文件，并邀请所有供应商的法定代表人</w:t>
      </w:r>
      <w:r>
        <w:rPr>
          <w:color w:val="auto"/>
          <w:sz w:val="21"/>
          <w:szCs w:val="21"/>
          <w:highlight w:val="none"/>
        </w:rPr>
        <w:t>(</w:t>
      </w:r>
      <w:r>
        <w:rPr>
          <w:rFonts w:hint="eastAsia"/>
          <w:color w:val="auto"/>
          <w:sz w:val="21"/>
          <w:szCs w:val="21"/>
          <w:highlight w:val="none"/>
        </w:rPr>
        <w:t>单位负责人</w:t>
      </w:r>
      <w:r>
        <w:rPr>
          <w:color w:val="auto"/>
          <w:sz w:val="21"/>
          <w:szCs w:val="21"/>
          <w:highlight w:val="none"/>
        </w:rPr>
        <w:t>)</w:t>
      </w:r>
      <w:r>
        <w:rPr>
          <w:rFonts w:hint="eastAsia"/>
          <w:color w:val="auto"/>
          <w:sz w:val="21"/>
          <w:szCs w:val="21"/>
          <w:highlight w:val="none"/>
        </w:rPr>
        <w:t>或其授权的代理人参加开启会议，供应商未派代表参加的，视为默认开启结果。</w:t>
      </w:r>
    </w:p>
    <w:p>
      <w:pPr>
        <w:pStyle w:val="5"/>
        <w:keepLines w:val="0"/>
        <w:spacing w:before="0" w:after="0" w:line="360" w:lineRule="auto"/>
        <w:ind w:firstLine="422" w:firstLineChars="200"/>
        <w:rPr>
          <w:rFonts w:ascii="宋体"/>
          <w:color w:val="auto"/>
          <w:sz w:val="21"/>
          <w:szCs w:val="21"/>
          <w:highlight w:val="none"/>
          <w:lang w:eastAsia="zh-CN"/>
        </w:rPr>
      </w:pPr>
      <w:bookmarkStart w:id="221" w:name="bookmark375"/>
      <w:bookmarkStart w:id="222" w:name="_Toc27183"/>
      <w:bookmarkStart w:id="223" w:name="bookmark374"/>
      <w:bookmarkStart w:id="224" w:name="_Toc79479608"/>
      <w:bookmarkStart w:id="225" w:name="_Toc26690"/>
      <w:bookmarkStart w:id="226" w:name="bookmark373"/>
      <w:r>
        <w:rPr>
          <w:rFonts w:ascii="宋体" w:hAnsi="宋体" w:cs="宋体"/>
          <w:color w:val="auto"/>
          <w:sz w:val="21"/>
          <w:szCs w:val="21"/>
          <w:highlight w:val="none"/>
          <w:lang w:eastAsia="zh-CN"/>
        </w:rPr>
        <w:t xml:space="preserve">5.2 </w:t>
      </w:r>
      <w:r>
        <w:rPr>
          <w:rFonts w:hint="eastAsia" w:ascii="宋体" w:hAnsi="宋体" w:cs="宋体"/>
          <w:color w:val="auto"/>
          <w:sz w:val="21"/>
          <w:szCs w:val="21"/>
          <w:highlight w:val="none"/>
          <w:lang w:eastAsia="zh-CN"/>
        </w:rPr>
        <w:t>开启程序</w:t>
      </w:r>
      <w:bookmarkEnd w:id="221"/>
      <w:bookmarkEnd w:id="222"/>
      <w:bookmarkEnd w:id="223"/>
      <w:bookmarkEnd w:id="224"/>
      <w:bookmarkEnd w:id="225"/>
      <w:bookmarkEnd w:id="226"/>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主持人按下列程序公开开启响应文件：</w:t>
      </w:r>
    </w:p>
    <w:p>
      <w:pPr>
        <w:pStyle w:val="46"/>
        <w:keepNext/>
        <w:tabs>
          <w:tab w:val="left" w:pos="1026"/>
        </w:tabs>
        <w:spacing w:line="360" w:lineRule="auto"/>
        <w:ind w:firstLine="420" w:firstLineChars="200"/>
        <w:rPr>
          <w:rFonts w:cs="Times New Roman"/>
          <w:color w:val="auto"/>
          <w:sz w:val="21"/>
          <w:szCs w:val="21"/>
          <w:highlight w:val="none"/>
        </w:rPr>
      </w:pPr>
      <w:bookmarkStart w:id="227" w:name="bookmark376"/>
      <w:bookmarkEnd w:id="227"/>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宣布开启会议纪律；</w:t>
      </w:r>
    </w:p>
    <w:p>
      <w:pPr>
        <w:pStyle w:val="46"/>
        <w:keepNext/>
        <w:tabs>
          <w:tab w:val="left" w:pos="1026"/>
        </w:tabs>
        <w:spacing w:line="360" w:lineRule="auto"/>
        <w:ind w:firstLine="420" w:firstLineChars="200"/>
        <w:rPr>
          <w:rFonts w:cs="Times New Roman"/>
          <w:color w:val="auto"/>
          <w:sz w:val="21"/>
          <w:szCs w:val="21"/>
          <w:highlight w:val="none"/>
        </w:rPr>
      </w:pPr>
      <w:bookmarkStart w:id="228" w:name="bookmark377"/>
      <w:bookmarkEnd w:id="228"/>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宣布参加开启会议的工作人员姓名；</w:t>
      </w:r>
    </w:p>
    <w:p>
      <w:pPr>
        <w:pStyle w:val="46"/>
        <w:keepNext/>
        <w:tabs>
          <w:tab w:val="left" w:pos="1026"/>
        </w:tabs>
        <w:spacing w:line="360" w:lineRule="auto"/>
        <w:ind w:firstLine="420" w:firstLineChars="200"/>
        <w:rPr>
          <w:rFonts w:cs="Times New Roman"/>
          <w:color w:val="auto"/>
          <w:sz w:val="21"/>
          <w:szCs w:val="21"/>
          <w:highlight w:val="none"/>
        </w:rPr>
      </w:pPr>
      <w:bookmarkStart w:id="229" w:name="bookmark378"/>
      <w:bookmarkEnd w:id="229"/>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供应商代表检查确认响应文件的密封情况；</w:t>
      </w:r>
    </w:p>
    <w:p>
      <w:pPr>
        <w:pStyle w:val="46"/>
        <w:keepNext/>
        <w:tabs>
          <w:tab w:val="left" w:pos="1030"/>
        </w:tabs>
        <w:spacing w:line="360" w:lineRule="auto"/>
        <w:ind w:firstLine="420" w:firstLineChars="200"/>
        <w:rPr>
          <w:rFonts w:cs="Times New Roman"/>
          <w:color w:val="auto"/>
          <w:sz w:val="21"/>
          <w:szCs w:val="21"/>
          <w:highlight w:val="none"/>
        </w:rPr>
      </w:pPr>
      <w:bookmarkStart w:id="230" w:name="bookmark379"/>
      <w:bookmarkEnd w:id="230"/>
      <w:r>
        <w:rPr>
          <w:rFonts w:hint="eastAsia"/>
          <w:color w:val="auto"/>
          <w:sz w:val="21"/>
          <w:szCs w:val="21"/>
          <w:highlight w:val="none"/>
          <w:lang w:eastAsia="zh-CN"/>
        </w:rPr>
        <w:t>（</w:t>
      </w:r>
      <w:r>
        <w:rPr>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按照供应商须知前附表规定的开启顺序开启响应文件，公布递交响应文件的供应商名称</w:t>
      </w:r>
      <w:r>
        <w:rPr>
          <w:rFonts w:hint="eastAsia"/>
          <w:color w:val="auto"/>
          <w:sz w:val="21"/>
          <w:szCs w:val="21"/>
          <w:highlight w:val="none"/>
          <w:lang w:eastAsia="zh-CN"/>
        </w:rPr>
        <w:t>、响应报价</w:t>
      </w:r>
      <w:r>
        <w:rPr>
          <w:rFonts w:hint="eastAsia"/>
          <w:color w:val="auto"/>
          <w:sz w:val="21"/>
          <w:szCs w:val="21"/>
          <w:highlight w:val="none"/>
        </w:rPr>
        <w:t>及供应商须知前附表规定的其他应公布的信息，并记录在案；</w:t>
      </w:r>
    </w:p>
    <w:p>
      <w:pPr>
        <w:pStyle w:val="46"/>
        <w:keepNext/>
        <w:tabs>
          <w:tab w:val="left" w:pos="1026"/>
        </w:tabs>
        <w:spacing w:line="360" w:lineRule="auto"/>
        <w:ind w:firstLine="420" w:firstLineChars="200"/>
        <w:rPr>
          <w:rFonts w:cs="Times New Roman"/>
          <w:color w:val="auto"/>
          <w:sz w:val="21"/>
          <w:szCs w:val="21"/>
          <w:highlight w:val="none"/>
        </w:rPr>
      </w:pPr>
      <w:bookmarkStart w:id="231" w:name="bookmark380"/>
      <w:bookmarkEnd w:id="231"/>
      <w:r>
        <w:rPr>
          <w:rFonts w:hint="eastAsia"/>
          <w:color w:val="auto"/>
          <w:sz w:val="21"/>
          <w:szCs w:val="21"/>
          <w:highlight w:val="none"/>
          <w:lang w:eastAsia="zh-CN"/>
        </w:rPr>
        <w:t>（</w:t>
      </w:r>
      <w:r>
        <w:rPr>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供应商代表及相关工作人员等在响应文件开启记录上签字确认；</w:t>
      </w:r>
    </w:p>
    <w:p>
      <w:pPr>
        <w:pStyle w:val="46"/>
        <w:keepNext/>
        <w:tabs>
          <w:tab w:val="left" w:pos="1031"/>
        </w:tabs>
        <w:spacing w:line="360" w:lineRule="auto"/>
        <w:ind w:firstLine="420" w:firstLineChars="200"/>
        <w:rPr>
          <w:rFonts w:cs="Times New Roman"/>
          <w:color w:val="auto"/>
          <w:sz w:val="21"/>
          <w:szCs w:val="21"/>
          <w:highlight w:val="none"/>
        </w:rPr>
      </w:pPr>
      <w:bookmarkStart w:id="232" w:name="bookmark381"/>
      <w:bookmarkEnd w:id="232"/>
      <w:r>
        <w:rPr>
          <w:rFonts w:hint="eastAsia"/>
          <w:color w:val="auto"/>
          <w:sz w:val="21"/>
          <w:szCs w:val="21"/>
          <w:highlight w:val="none"/>
          <w:lang w:eastAsia="zh-CN"/>
        </w:rPr>
        <w:t>（</w:t>
      </w:r>
      <w:r>
        <w:rPr>
          <w:color w:val="auto"/>
          <w:sz w:val="21"/>
          <w:szCs w:val="21"/>
          <w:highlight w:val="none"/>
          <w:lang w:val="en-US" w:eastAsia="zh-CN"/>
        </w:rPr>
        <w:t>6</w:t>
      </w:r>
      <w:r>
        <w:rPr>
          <w:rFonts w:hint="eastAsia"/>
          <w:color w:val="auto"/>
          <w:sz w:val="21"/>
          <w:szCs w:val="21"/>
          <w:highlight w:val="none"/>
          <w:lang w:eastAsia="zh-CN"/>
        </w:rPr>
        <w:t>）</w:t>
      </w:r>
      <w:r>
        <w:rPr>
          <w:rFonts w:hint="eastAsia"/>
          <w:color w:val="auto"/>
          <w:sz w:val="21"/>
          <w:szCs w:val="21"/>
          <w:highlight w:val="none"/>
        </w:rPr>
        <w:t>宣布有关注意事项；</w:t>
      </w:r>
    </w:p>
    <w:p>
      <w:pPr>
        <w:pStyle w:val="46"/>
        <w:keepNext/>
        <w:tabs>
          <w:tab w:val="left" w:pos="1031"/>
        </w:tabs>
        <w:spacing w:line="360" w:lineRule="auto"/>
        <w:ind w:firstLine="420" w:firstLineChars="200"/>
        <w:rPr>
          <w:rFonts w:cs="Times New Roman"/>
          <w:color w:val="auto"/>
          <w:sz w:val="21"/>
          <w:szCs w:val="21"/>
          <w:highlight w:val="none"/>
        </w:rPr>
      </w:pPr>
      <w:bookmarkStart w:id="233" w:name="bookmark382"/>
      <w:bookmarkEnd w:id="233"/>
      <w:r>
        <w:rPr>
          <w:rFonts w:hint="eastAsia"/>
          <w:color w:val="auto"/>
          <w:sz w:val="21"/>
          <w:szCs w:val="21"/>
          <w:highlight w:val="none"/>
          <w:lang w:eastAsia="zh-CN"/>
        </w:rPr>
        <w:t>（</w:t>
      </w:r>
      <w:r>
        <w:rPr>
          <w:color w:val="auto"/>
          <w:sz w:val="21"/>
          <w:szCs w:val="21"/>
          <w:highlight w:val="none"/>
          <w:lang w:val="en-US" w:eastAsia="zh-CN"/>
        </w:rPr>
        <w:t>7</w:t>
      </w:r>
      <w:r>
        <w:rPr>
          <w:rFonts w:hint="eastAsia"/>
          <w:color w:val="auto"/>
          <w:sz w:val="21"/>
          <w:szCs w:val="21"/>
          <w:highlight w:val="none"/>
          <w:lang w:eastAsia="zh-CN"/>
        </w:rPr>
        <w:t>）</w:t>
      </w:r>
      <w:r>
        <w:rPr>
          <w:rFonts w:hint="eastAsia"/>
          <w:color w:val="auto"/>
          <w:sz w:val="21"/>
          <w:szCs w:val="21"/>
          <w:highlight w:val="none"/>
        </w:rPr>
        <w:t>开启会议结束。</w:t>
      </w:r>
    </w:p>
    <w:p>
      <w:pPr>
        <w:pStyle w:val="5"/>
        <w:keepLines w:val="0"/>
        <w:spacing w:before="0" w:after="0" w:line="360" w:lineRule="auto"/>
        <w:ind w:firstLine="422" w:firstLineChars="200"/>
        <w:rPr>
          <w:rFonts w:ascii="宋体"/>
          <w:color w:val="auto"/>
          <w:sz w:val="21"/>
          <w:szCs w:val="21"/>
          <w:highlight w:val="none"/>
          <w:lang w:eastAsia="zh-CN"/>
        </w:rPr>
      </w:pPr>
      <w:bookmarkStart w:id="234" w:name="_Toc16351"/>
      <w:bookmarkStart w:id="235" w:name="_Toc79479609"/>
      <w:r>
        <w:rPr>
          <w:rFonts w:ascii="宋体" w:hAnsi="宋体" w:cs="宋体"/>
          <w:color w:val="auto"/>
          <w:sz w:val="21"/>
          <w:szCs w:val="21"/>
          <w:highlight w:val="none"/>
          <w:lang w:eastAsia="zh-CN"/>
        </w:rPr>
        <w:t xml:space="preserve">5.3 </w:t>
      </w:r>
      <w:r>
        <w:rPr>
          <w:rFonts w:hint="eastAsia" w:ascii="宋体" w:hAnsi="宋体" w:cs="宋体"/>
          <w:color w:val="auto"/>
          <w:sz w:val="21"/>
          <w:szCs w:val="21"/>
          <w:highlight w:val="none"/>
          <w:lang w:eastAsia="zh-CN"/>
        </w:rPr>
        <w:t>递交响应文件的供应商不足的情形</w:t>
      </w:r>
      <w:bookmarkEnd w:id="234"/>
      <w:bookmarkEnd w:id="235"/>
    </w:p>
    <w:p>
      <w:pPr>
        <w:pStyle w:val="46"/>
        <w:keepNext/>
        <w:tabs>
          <w:tab w:val="left" w:pos="1031"/>
        </w:tabs>
        <w:spacing w:line="360" w:lineRule="auto"/>
        <w:ind w:firstLine="420" w:firstLineChars="200"/>
        <w:rPr>
          <w:rFonts w:cs="Times New Roman"/>
          <w:color w:val="auto"/>
          <w:sz w:val="21"/>
          <w:szCs w:val="21"/>
          <w:highlight w:val="none"/>
          <w:lang w:val="en-US" w:eastAsia="zh-CN"/>
        </w:rPr>
      </w:pPr>
      <w:r>
        <w:rPr>
          <w:rFonts w:hint="eastAsia"/>
          <w:color w:val="auto"/>
          <w:sz w:val="21"/>
          <w:szCs w:val="21"/>
          <w:highlight w:val="none"/>
          <w:lang w:val="en-US" w:eastAsia="zh-CN"/>
        </w:rPr>
        <w:t>采购项目已公开发布第二次采购公告，递交响应文件的供应商数量不足三家的，采购人可按照下述情况分别处理：</w:t>
      </w:r>
    </w:p>
    <w:p>
      <w:pPr>
        <w:pStyle w:val="46"/>
        <w:keepNext/>
        <w:numPr>
          <w:ilvl w:val="0"/>
          <w:numId w:val="1"/>
        </w:numPr>
        <w:tabs>
          <w:tab w:val="left" w:pos="1031"/>
        </w:tabs>
        <w:spacing w:line="360" w:lineRule="auto"/>
        <w:ind w:firstLine="420" w:firstLineChars="200"/>
        <w:rPr>
          <w:rFonts w:cs="Times New Roman"/>
          <w:color w:val="auto"/>
          <w:sz w:val="21"/>
          <w:szCs w:val="21"/>
          <w:highlight w:val="none"/>
          <w:lang w:val="en-US" w:eastAsia="zh-CN"/>
        </w:rPr>
      </w:pPr>
      <w:r>
        <w:rPr>
          <w:rFonts w:hint="eastAsia"/>
          <w:color w:val="auto"/>
          <w:sz w:val="21"/>
          <w:szCs w:val="21"/>
          <w:highlight w:val="none"/>
          <w:lang w:val="en-US" w:eastAsia="zh-CN"/>
        </w:rPr>
        <w:t>终止询比并重新组织采购</w:t>
      </w:r>
    </w:p>
    <w:p>
      <w:pPr>
        <w:pStyle w:val="46"/>
        <w:keepNext/>
        <w:tabs>
          <w:tab w:val="left" w:pos="1031"/>
        </w:tabs>
        <w:spacing w:line="360" w:lineRule="auto"/>
        <w:ind w:firstLine="420" w:firstLineChars="200"/>
        <w:rPr>
          <w:rFonts w:cs="Times New Roman"/>
          <w:color w:val="auto"/>
          <w:sz w:val="21"/>
          <w:szCs w:val="21"/>
          <w:highlight w:val="none"/>
          <w:lang w:val="en-US" w:eastAsia="zh-CN"/>
        </w:rPr>
      </w:pPr>
      <w:r>
        <w:rPr>
          <w:rFonts w:hint="eastAsia"/>
          <w:color w:val="auto"/>
          <w:sz w:val="21"/>
          <w:szCs w:val="21"/>
          <w:highlight w:val="none"/>
          <w:lang w:val="en-US" w:eastAsia="zh-CN"/>
        </w:rPr>
        <w:t>采购项目存在影响公平竞争情形的，采购人应当终止询比采购，并根据不同情形和原因，采取相应纠正措施，重新组织采购。</w:t>
      </w:r>
    </w:p>
    <w:p>
      <w:pPr>
        <w:pStyle w:val="46"/>
        <w:keepNext/>
        <w:numPr>
          <w:ilvl w:val="0"/>
          <w:numId w:val="1"/>
        </w:numPr>
        <w:tabs>
          <w:tab w:val="left" w:pos="1031"/>
        </w:tabs>
        <w:spacing w:line="360" w:lineRule="auto"/>
        <w:ind w:firstLine="420" w:firstLineChars="200"/>
        <w:rPr>
          <w:rFonts w:cs="Times New Roman"/>
          <w:color w:val="auto"/>
          <w:sz w:val="21"/>
          <w:szCs w:val="21"/>
          <w:highlight w:val="none"/>
          <w:lang w:val="en-US" w:eastAsia="zh-CN"/>
        </w:rPr>
      </w:pPr>
      <w:r>
        <w:rPr>
          <w:rFonts w:hint="eastAsia"/>
          <w:color w:val="auto"/>
          <w:sz w:val="21"/>
          <w:szCs w:val="21"/>
          <w:highlight w:val="none"/>
          <w:lang w:val="en-US" w:eastAsia="zh-CN"/>
        </w:rPr>
        <w:t>继续采购</w:t>
      </w:r>
    </w:p>
    <w:p>
      <w:pPr>
        <w:pStyle w:val="46"/>
        <w:keepNext/>
        <w:tabs>
          <w:tab w:val="left" w:pos="1031"/>
        </w:tabs>
        <w:spacing w:line="360" w:lineRule="auto"/>
        <w:ind w:firstLine="420" w:firstLineChars="200"/>
        <w:rPr>
          <w:rFonts w:cs="Times New Roman"/>
          <w:color w:val="auto"/>
          <w:sz w:val="21"/>
          <w:szCs w:val="21"/>
          <w:highlight w:val="none"/>
          <w:lang w:val="en-US" w:eastAsia="zh-CN"/>
        </w:rPr>
      </w:pPr>
      <w:r>
        <w:rPr>
          <w:rFonts w:hint="eastAsia"/>
          <w:color w:val="auto"/>
          <w:sz w:val="21"/>
          <w:szCs w:val="21"/>
          <w:highlight w:val="none"/>
          <w:lang w:val="en-US" w:eastAsia="zh-CN"/>
        </w:rPr>
        <w:t>采购项目不存在终止询比情形，且采购人也没有自行选择终止询比采购的，采购人应按照本章第</w:t>
      </w:r>
      <w:r>
        <w:rPr>
          <w:color w:val="auto"/>
          <w:sz w:val="21"/>
          <w:szCs w:val="21"/>
          <w:highlight w:val="none"/>
          <w:lang w:val="en-US" w:eastAsia="zh-CN"/>
        </w:rPr>
        <w:t>5.2</w:t>
      </w:r>
      <w:r>
        <w:rPr>
          <w:rFonts w:hint="eastAsia"/>
          <w:color w:val="auto"/>
          <w:sz w:val="21"/>
          <w:szCs w:val="21"/>
          <w:highlight w:val="none"/>
          <w:lang w:val="en-US" w:eastAsia="zh-CN"/>
        </w:rPr>
        <w:t>款规定的程序继续开启响应文件，并直接参照谈判采购方式（适用于两家供应商的情形）或直接采购方式（适用于一家供应商的情形）与供应商谈判后确定成交供应商。</w:t>
      </w:r>
    </w:p>
    <w:p>
      <w:pPr>
        <w:pStyle w:val="4"/>
        <w:keepLines w:val="0"/>
        <w:spacing w:before="0" w:after="0" w:line="360" w:lineRule="auto"/>
        <w:ind w:firstLine="422" w:firstLineChars="200"/>
        <w:rPr>
          <w:rFonts w:ascii="宋体"/>
          <w:color w:val="auto"/>
          <w:sz w:val="21"/>
          <w:szCs w:val="21"/>
          <w:highlight w:val="none"/>
          <w:lang w:eastAsia="zh-CN"/>
        </w:rPr>
      </w:pPr>
      <w:bookmarkStart w:id="236" w:name="_Toc10013"/>
      <w:bookmarkStart w:id="237" w:name="bookmark384"/>
      <w:bookmarkStart w:id="238" w:name="_Toc31405"/>
      <w:bookmarkStart w:id="239" w:name="bookmark385"/>
      <w:bookmarkStart w:id="240" w:name="_Toc79479610"/>
      <w:bookmarkStart w:id="241" w:name="bookmark383"/>
      <w:r>
        <w:rPr>
          <w:rFonts w:ascii="宋体" w:hAnsi="宋体" w:cs="宋体"/>
          <w:color w:val="auto"/>
          <w:sz w:val="21"/>
          <w:szCs w:val="21"/>
          <w:highlight w:val="none"/>
          <w:lang w:eastAsia="zh-CN"/>
        </w:rPr>
        <w:t xml:space="preserve">6 </w:t>
      </w:r>
      <w:r>
        <w:rPr>
          <w:rFonts w:hint="eastAsia" w:ascii="宋体" w:hAnsi="宋体" w:cs="宋体"/>
          <w:color w:val="auto"/>
          <w:sz w:val="21"/>
          <w:szCs w:val="21"/>
          <w:highlight w:val="none"/>
          <w:lang w:eastAsia="zh-CN"/>
        </w:rPr>
        <w:t>评审</w:t>
      </w:r>
      <w:bookmarkEnd w:id="236"/>
      <w:bookmarkEnd w:id="237"/>
      <w:bookmarkEnd w:id="238"/>
      <w:bookmarkEnd w:id="239"/>
      <w:bookmarkEnd w:id="240"/>
      <w:bookmarkEnd w:id="241"/>
    </w:p>
    <w:p>
      <w:pPr>
        <w:pStyle w:val="5"/>
        <w:keepLines w:val="0"/>
        <w:spacing w:before="0" w:after="0" w:line="360" w:lineRule="auto"/>
        <w:ind w:firstLine="422" w:firstLineChars="200"/>
        <w:rPr>
          <w:rFonts w:ascii="宋体"/>
          <w:color w:val="auto"/>
          <w:sz w:val="21"/>
          <w:szCs w:val="21"/>
          <w:highlight w:val="none"/>
          <w:lang w:eastAsia="zh-CN"/>
        </w:rPr>
      </w:pPr>
      <w:bookmarkStart w:id="242" w:name="bookmark386"/>
      <w:bookmarkStart w:id="243" w:name="bookmark387"/>
      <w:bookmarkStart w:id="244" w:name="_Toc6848"/>
      <w:bookmarkStart w:id="245" w:name="bookmark388"/>
      <w:bookmarkStart w:id="246" w:name="_Toc79479611"/>
      <w:bookmarkStart w:id="247" w:name="_Toc25667"/>
      <w:r>
        <w:rPr>
          <w:rFonts w:ascii="宋体" w:hAnsi="宋体" w:cs="宋体"/>
          <w:color w:val="auto"/>
          <w:sz w:val="21"/>
          <w:szCs w:val="21"/>
          <w:highlight w:val="none"/>
          <w:lang w:eastAsia="zh-CN"/>
        </w:rPr>
        <w:t xml:space="preserve">6.1 </w:t>
      </w:r>
      <w:r>
        <w:rPr>
          <w:rFonts w:hint="eastAsia" w:ascii="宋体" w:hAnsi="宋体" w:cs="宋体"/>
          <w:color w:val="auto"/>
          <w:sz w:val="21"/>
          <w:szCs w:val="21"/>
          <w:highlight w:val="none"/>
          <w:lang w:eastAsia="zh-CN"/>
        </w:rPr>
        <w:t>评审小组</w:t>
      </w:r>
      <w:bookmarkEnd w:id="242"/>
      <w:bookmarkEnd w:id="243"/>
      <w:bookmarkEnd w:id="244"/>
      <w:bookmarkEnd w:id="245"/>
      <w:bookmarkEnd w:id="246"/>
      <w:bookmarkEnd w:id="247"/>
    </w:p>
    <w:p>
      <w:pPr>
        <w:pStyle w:val="46"/>
        <w:keepNext/>
        <w:spacing w:line="360" w:lineRule="auto"/>
        <w:ind w:firstLine="420" w:firstLineChars="200"/>
        <w:rPr>
          <w:rFonts w:cs="Times New Roman"/>
          <w:color w:val="auto"/>
          <w:sz w:val="21"/>
          <w:szCs w:val="21"/>
          <w:highlight w:val="none"/>
          <w:lang w:eastAsia="zh-CN"/>
        </w:rPr>
      </w:pPr>
      <w:r>
        <w:rPr>
          <w:color w:val="auto"/>
          <w:sz w:val="21"/>
          <w:szCs w:val="21"/>
          <w:highlight w:val="none"/>
          <w:lang w:val="en-US" w:eastAsia="zh-CN"/>
        </w:rPr>
        <w:t>6.1.1</w:t>
      </w:r>
      <w:r>
        <w:rPr>
          <w:rFonts w:hint="eastAsia"/>
          <w:color w:val="auto"/>
          <w:sz w:val="21"/>
          <w:szCs w:val="21"/>
          <w:highlight w:val="none"/>
          <w:lang w:eastAsia="zh-CN"/>
        </w:rPr>
        <w:t>评审由采购人组建的评审小组负责</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6.1.2</w:t>
      </w:r>
      <w:r>
        <w:rPr>
          <w:rFonts w:hint="eastAsia"/>
          <w:color w:val="auto"/>
          <w:sz w:val="21"/>
          <w:szCs w:val="21"/>
          <w:highlight w:val="none"/>
          <w:lang w:eastAsia="zh-CN"/>
        </w:rPr>
        <w:t>评审</w:t>
      </w:r>
      <w:r>
        <w:rPr>
          <w:rFonts w:hint="eastAsia"/>
          <w:color w:val="auto"/>
          <w:sz w:val="21"/>
          <w:szCs w:val="21"/>
          <w:highlight w:val="none"/>
        </w:rPr>
        <w:t>小组成员有下列情形之一的，应当回避：</w:t>
      </w:r>
    </w:p>
    <w:p>
      <w:pPr>
        <w:pStyle w:val="46"/>
        <w:keepNext/>
        <w:tabs>
          <w:tab w:val="left" w:pos="1026"/>
        </w:tabs>
        <w:spacing w:line="360" w:lineRule="auto"/>
        <w:ind w:firstLine="420" w:firstLineChars="200"/>
        <w:rPr>
          <w:rFonts w:cs="Times New Roman"/>
          <w:color w:val="auto"/>
          <w:sz w:val="21"/>
          <w:szCs w:val="21"/>
          <w:highlight w:val="none"/>
        </w:rPr>
      </w:pPr>
      <w:bookmarkStart w:id="248" w:name="bookmark389"/>
      <w:bookmarkEnd w:id="248"/>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供应商主要负责人或供应商主要负责人的近亲属；</w:t>
      </w:r>
    </w:p>
    <w:p>
      <w:pPr>
        <w:pStyle w:val="46"/>
        <w:keepNext/>
        <w:tabs>
          <w:tab w:val="left" w:pos="1026"/>
        </w:tabs>
        <w:spacing w:line="360" w:lineRule="auto"/>
        <w:ind w:firstLine="420" w:firstLineChars="200"/>
        <w:rPr>
          <w:rFonts w:cs="Times New Roman"/>
          <w:color w:val="auto"/>
          <w:sz w:val="21"/>
          <w:szCs w:val="21"/>
          <w:highlight w:val="none"/>
        </w:rPr>
      </w:pPr>
      <w:bookmarkStart w:id="249" w:name="bookmark390"/>
      <w:bookmarkEnd w:id="249"/>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与供应商有经济利益关系或其他利害关系，可能影响公正评审的。</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6.1.3</w:t>
      </w:r>
      <w:r>
        <w:rPr>
          <w:rFonts w:hint="eastAsia"/>
          <w:color w:val="auto"/>
          <w:sz w:val="21"/>
          <w:szCs w:val="21"/>
          <w:highlight w:val="none"/>
          <w:lang w:eastAsia="zh-CN"/>
        </w:rPr>
        <w:t>评审</w:t>
      </w:r>
      <w:r>
        <w:rPr>
          <w:rFonts w:hint="eastAsia"/>
          <w:color w:val="auto"/>
          <w:sz w:val="21"/>
          <w:szCs w:val="21"/>
          <w:highlight w:val="none"/>
        </w:rPr>
        <w:t>小组组建后，</w:t>
      </w:r>
      <w:r>
        <w:rPr>
          <w:rFonts w:hint="eastAsia"/>
          <w:color w:val="auto"/>
          <w:sz w:val="21"/>
          <w:szCs w:val="21"/>
          <w:highlight w:val="none"/>
          <w:lang w:eastAsia="zh-CN"/>
        </w:rPr>
        <w:t>评审</w:t>
      </w:r>
      <w:r>
        <w:rPr>
          <w:rFonts w:hint="eastAsia"/>
          <w:color w:val="auto"/>
          <w:sz w:val="21"/>
          <w:szCs w:val="21"/>
          <w:highlight w:val="none"/>
        </w:rPr>
        <w:t>小组成员共同推选或由采购人指定</w:t>
      </w:r>
      <w:r>
        <w:rPr>
          <w:rFonts w:hint="eastAsia"/>
          <w:color w:val="auto"/>
          <w:sz w:val="21"/>
          <w:szCs w:val="21"/>
          <w:highlight w:val="none"/>
          <w:lang w:eastAsia="zh-CN"/>
        </w:rPr>
        <w:t>评审</w:t>
      </w:r>
      <w:r>
        <w:rPr>
          <w:rFonts w:hint="eastAsia"/>
          <w:color w:val="auto"/>
          <w:sz w:val="21"/>
          <w:szCs w:val="21"/>
          <w:highlight w:val="none"/>
        </w:rPr>
        <w:t>小组组长，</w:t>
      </w:r>
      <w:r>
        <w:rPr>
          <w:rFonts w:hint="eastAsia"/>
          <w:color w:val="auto"/>
          <w:sz w:val="21"/>
          <w:szCs w:val="21"/>
          <w:highlight w:val="none"/>
          <w:lang w:eastAsia="zh-CN"/>
        </w:rPr>
        <w:t>评审</w:t>
      </w:r>
      <w:r>
        <w:rPr>
          <w:rFonts w:hint="eastAsia"/>
          <w:color w:val="auto"/>
          <w:sz w:val="21"/>
          <w:szCs w:val="21"/>
          <w:highlight w:val="none"/>
        </w:rPr>
        <w:t>小组组长负责组织评审工作。</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6.1.4</w:t>
      </w:r>
      <w:r>
        <w:rPr>
          <w:rFonts w:hint="eastAsia"/>
          <w:color w:val="auto"/>
          <w:sz w:val="21"/>
          <w:szCs w:val="21"/>
          <w:highlight w:val="none"/>
        </w:rPr>
        <w:t>在评审过程中，</w:t>
      </w:r>
      <w:r>
        <w:rPr>
          <w:rFonts w:hint="eastAsia"/>
          <w:color w:val="auto"/>
          <w:sz w:val="21"/>
          <w:szCs w:val="21"/>
          <w:highlight w:val="none"/>
          <w:lang w:eastAsia="zh-CN"/>
        </w:rPr>
        <w:t>评审</w:t>
      </w:r>
      <w:r>
        <w:rPr>
          <w:rFonts w:hint="eastAsia"/>
          <w:color w:val="auto"/>
          <w:sz w:val="21"/>
          <w:szCs w:val="21"/>
          <w:highlight w:val="none"/>
        </w:rPr>
        <w:t>小组成员对需要共同认定的事项存在争议的，将按照少数服从多数的原则作出结论。持不同意见的</w:t>
      </w:r>
      <w:r>
        <w:rPr>
          <w:rFonts w:hint="eastAsia"/>
          <w:color w:val="auto"/>
          <w:sz w:val="21"/>
          <w:szCs w:val="21"/>
          <w:highlight w:val="none"/>
          <w:lang w:eastAsia="zh-CN"/>
        </w:rPr>
        <w:t>评审</w:t>
      </w:r>
      <w:r>
        <w:rPr>
          <w:rFonts w:hint="eastAsia"/>
          <w:color w:val="auto"/>
          <w:sz w:val="21"/>
          <w:szCs w:val="21"/>
          <w:highlight w:val="none"/>
        </w:rPr>
        <w:t>小组成员应当在评审报告上签署不同意见及理由，否则视为同意评审报告。</w:t>
      </w:r>
    </w:p>
    <w:p>
      <w:pPr>
        <w:pStyle w:val="5"/>
        <w:keepLines w:val="0"/>
        <w:spacing w:before="0" w:after="0" w:line="360" w:lineRule="auto"/>
        <w:ind w:firstLine="422" w:firstLineChars="200"/>
        <w:rPr>
          <w:rFonts w:ascii="宋体"/>
          <w:color w:val="auto"/>
          <w:sz w:val="21"/>
          <w:szCs w:val="21"/>
          <w:highlight w:val="none"/>
          <w:lang w:eastAsia="zh-CN"/>
        </w:rPr>
      </w:pPr>
      <w:bookmarkStart w:id="250" w:name="_Toc19701"/>
      <w:bookmarkStart w:id="251" w:name="bookmark392"/>
      <w:bookmarkStart w:id="252" w:name="bookmark393"/>
      <w:bookmarkStart w:id="253" w:name="_Toc18626"/>
      <w:bookmarkStart w:id="254" w:name="bookmark391"/>
      <w:bookmarkStart w:id="255" w:name="_Toc79479612"/>
      <w:r>
        <w:rPr>
          <w:rFonts w:ascii="宋体" w:hAnsi="宋体" w:cs="宋体"/>
          <w:color w:val="auto"/>
          <w:sz w:val="21"/>
          <w:szCs w:val="21"/>
          <w:highlight w:val="none"/>
          <w:lang w:eastAsia="zh-CN"/>
        </w:rPr>
        <w:t xml:space="preserve">6.2 </w:t>
      </w:r>
      <w:r>
        <w:rPr>
          <w:rFonts w:hint="eastAsia" w:ascii="宋体" w:hAnsi="宋体" w:cs="宋体"/>
          <w:color w:val="auto"/>
          <w:sz w:val="21"/>
          <w:szCs w:val="21"/>
          <w:highlight w:val="none"/>
          <w:lang w:eastAsia="zh-CN"/>
        </w:rPr>
        <w:t>评审</w:t>
      </w:r>
      <w:bookmarkEnd w:id="250"/>
      <w:bookmarkEnd w:id="251"/>
      <w:bookmarkEnd w:id="252"/>
      <w:bookmarkEnd w:id="253"/>
      <w:bookmarkEnd w:id="254"/>
      <w:bookmarkEnd w:id="255"/>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6.2.</w:t>
      </w:r>
      <w:r>
        <w:rPr>
          <w:color w:val="auto"/>
          <w:sz w:val="21"/>
          <w:szCs w:val="21"/>
          <w:highlight w:val="none"/>
        </w:rPr>
        <w:t>1</w:t>
      </w:r>
      <w:r>
        <w:rPr>
          <w:rFonts w:hint="eastAsia"/>
          <w:color w:val="auto"/>
          <w:sz w:val="21"/>
          <w:szCs w:val="21"/>
          <w:highlight w:val="none"/>
          <w:lang w:eastAsia="zh-CN"/>
        </w:rPr>
        <w:t>评审</w:t>
      </w:r>
      <w:r>
        <w:rPr>
          <w:rFonts w:hint="eastAsia"/>
          <w:color w:val="auto"/>
          <w:sz w:val="21"/>
          <w:szCs w:val="21"/>
          <w:highlight w:val="none"/>
        </w:rPr>
        <w:t>小组按照第三章</w:t>
      </w:r>
      <w:r>
        <w:rPr>
          <w:rFonts w:hint="eastAsia"/>
          <w:color w:val="auto"/>
          <w:sz w:val="21"/>
          <w:szCs w:val="21"/>
          <w:highlight w:val="none"/>
          <w:lang w:val="zh-CN" w:eastAsia="zh-CN"/>
        </w:rPr>
        <w:t>“评审</w:t>
      </w:r>
      <w:r>
        <w:rPr>
          <w:rFonts w:hint="eastAsia"/>
          <w:color w:val="auto"/>
          <w:sz w:val="21"/>
          <w:szCs w:val="21"/>
          <w:highlight w:val="none"/>
        </w:rPr>
        <w:t>办法”规定的评审标准和程序对响应文件进行评审</w:t>
      </w:r>
      <w:r>
        <w:rPr>
          <w:rFonts w:hint="eastAsia"/>
          <w:color w:val="auto"/>
          <w:sz w:val="21"/>
          <w:szCs w:val="21"/>
          <w:highlight w:val="none"/>
          <w:lang w:eastAsia="zh-CN"/>
        </w:rPr>
        <w:t>和比较</w:t>
      </w:r>
      <w:r>
        <w:rPr>
          <w:rFonts w:hint="eastAsia"/>
          <w:color w:val="auto"/>
          <w:sz w:val="21"/>
          <w:szCs w:val="21"/>
          <w:highlight w:val="none"/>
        </w:rPr>
        <w:t>。</w:t>
      </w:r>
    </w:p>
    <w:p>
      <w:pPr>
        <w:pStyle w:val="46"/>
        <w:keepNext/>
        <w:spacing w:line="360" w:lineRule="auto"/>
        <w:ind w:firstLine="420" w:firstLineChars="200"/>
        <w:rPr>
          <w:color w:val="auto"/>
          <w:sz w:val="21"/>
          <w:szCs w:val="21"/>
          <w:highlight w:val="none"/>
        </w:rPr>
      </w:pPr>
      <w:r>
        <w:rPr>
          <w:color w:val="auto"/>
          <w:sz w:val="21"/>
          <w:szCs w:val="21"/>
          <w:highlight w:val="none"/>
        </w:rPr>
        <w:t>6.2.2</w:t>
      </w:r>
      <w:r>
        <w:rPr>
          <w:rFonts w:hint="eastAsia"/>
          <w:color w:val="auto"/>
          <w:sz w:val="21"/>
          <w:szCs w:val="21"/>
          <w:highlight w:val="none"/>
        </w:rPr>
        <w:t>评审完成后，评审小组应当向采购人提交书面评审报告和候选成交供应商名单。评审小组推荐候选成交供应商的数量见供应商须知前附表。</w:t>
      </w:r>
    </w:p>
    <w:p>
      <w:pPr>
        <w:pStyle w:val="4"/>
        <w:keepLines w:val="0"/>
        <w:spacing w:before="0" w:after="0" w:line="360" w:lineRule="auto"/>
        <w:ind w:firstLine="422" w:firstLineChars="200"/>
        <w:rPr>
          <w:rFonts w:ascii="宋体"/>
          <w:color w:val="auto"/>
          <w:sz w:val="21"/>
          <w:szCs w:val="21"/>
          <w:highlight w:val="none"/>
          <w:lang w:eastAsia="zh-CN"/>
        </w:rPr>
      </w:pPr>
      <w:bookmarkStart w:id="256" w:name="_Toc21753"/>
      <w:bookmarkStart w:id="257" w:name="_Toc79479613"/>
      <w:bookmarkStart w:id="258" w:name="bookmark412"/>
      <w:bookmarkStart w:id="259" w:name="bookmark414"/>
      <w:bookmarkStart w:id="260" w:name="bookmark413"/>
      <w:bookmarkStart w:id="261" w:name="_Toc20754"/>
      <w:r>
        <w:rPr>
          <w:rFonts w:ascii="宋体" w:hAnsi="宋体" w:cs="宋体"/>
          <w:color w:val="auto"/>
          <w:sz w:val="21"/>
          <w:szCs w:val="21"/>
          <w:highlight w:val="none"/>
          <w:lang w:eastAsia="zh-CN"/>
        </w:rPr>
        <w:t xml:space="preserve">7 </w:t>
      </w:r>
      <w:r>
        <w:rPr>
          <w:rFonts w:hint="eastAsia" w:ascii="宋体" w:hAnsi="宋体" w:cs="宋体"/>
          <w:color w:val="auto"/>
          <w:sz w:val="21"/>
          <w:szCs w:val="21"/>
          <w:highlight w:val="none"/>
          <w:lang w:eastAsia="zh-CN"/>
        </w:rPr>
        <w:t>合同授予</w:t>
      </w:r>
      <w:bookmarkEnd w:id="256"/>
      <w:bookmarkEnd w:id="257"/>
      <w:bookmarkEnd w:id="258"/>
      <w:bookmarkEnd w:id="259"/>
      <w:bookmarkEnd w:id="260"/>
      <w:bookmarkEnd w:id="261"/>
    </w:p>
    <w:p>
      <w:pPr>
        <w:pStyle w:val="5"/>
        <w:keepLines w:val="0"/>
        <w:spacing w:before="0" w:after="0" w:line="360" w:lineRule="auto"/>
        <w:ind w:firstLine="422" w:firstLineChars="200"/>
        <w:rPr>
          <w:rFonts w:ascii="宋体" w:hAnsi="宋体" w:cs="宋体"/>
          <w:color w:val="auto"/>
          <w:sz w:val="21"/>
          <w:szCs w:val="21"/>
          <w:highlight w:val="none"/>
          <w:lang w:eastAsia="zh-CN"/>
        </w:rPr>
      </w:pPr>
      <w:bookmarkStart w:id="262" w:name="_Toc27342"/>
      <w:bookmarkStart w:id="263" w:name="_Toc79479614"/>
      <w:bookmarkStart w:id="264" w:name="bookmark415"/>
      <w:bookmarkStart w:id="265" w:name="_Toc29218"/>
      <w:bookmarkStart w:id="266" w:name="bookmark416"/>
      <w:bookmarkStart w:id="267" w:name="bookmark417"/>
      <w:r>
        <w:rPr>
          <w:rFonts w:ascii="宋体" w:hAnsi="宋体" w:cs="宋体"/>
          <w:color w:val="auto"/>
          <w:sz w:val="21"/>
          <w:szCs w:val="21"/>
          <w:highlight w:val="none"/>
          <w:lang w:eastAsia="zh-CN"/>
        </w:rPr>
        <w:t>7.1</w:t>
      </w:r>
      <w:r>
        <w:rPr>
          <w:rFonts w:hint="eastAsia" w:ascii="宋体" w:hAnsi="宋体" w:cs="宋体"/>
          <w:color w:val="auto"/>
          <w:sz w:val="21"/>
          <w:szCs w:val="21"/>
          <w:highlight w:val="none"/>
          <w:lang w:eastAsia="zh-CN"/>
        </w:rPr>
        <w:t>成交供应商履约能力核查</w:t>
      </w:r>
      <w:bookmarkEnd w:id="262"/>
      <w:bookmarkEnd w:id="263"/>
      <w:bookmarkEnd w:id="264"/>
      <w:bookmarkEnd w:id="265"/>
      <w:bookmarkEnd w:id="266"/>
      <w:bookmarkEnd w:id="267"/>
    </w:p>
    <w:p>
      <w:pPr>
        <w:pStyle w:val="46"/>
        <w:keepNext/>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7.1.1 除须知前附表规定评审小组直接确定成交人外，采购人依据评审小组推荐的成交人确定成交人，评审小组推荐成交候选人的人数见须知前附表。</w:t>
      </w:r>
    </w:p>
    <w:p>
      <w:pPr>
        <w:pStyle w:val="46"/>
        <w:keepNext/>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7.1.2 采购人应当确定排名第一的成交人为成交人，当排名第一的成交人放弃成交资格，或因不可抗力提出不能履行合同，或者被查实存在影响成交结果的违法行为等情形，不符合成交条件的，采购人可以按照评审小组提出的成交人名单排序依次确定其他供应商为成交人。依次确定其他成交人与采购人预期差距较大，或者对采购人明显不利的，采购人可以重新采购。</w:t>
      </w:r>
    </w:p>
    <w:p>
      <w:pPr>
        <w:pStyle w:val="5"/>
        <w:keepLines w:val="0"/>
        <w:spacing w:before="0" w:after="0" w:line="360" w:lineRule="auto"/>
        <w:ind w:firstLine="422" w:firstLineChars="200"/>
        <w:rPr>
          <w:rFonts w:ascii="宋体"/>
          <w:color w:val="auto"/>
          <w:sz w:val="21"/>
          <w:szCs w:val="21"/>
          <w:highlight w:val="none"/>
          <w:lang w:eastAsia="zh-CN"/>
        </w:rPr>
      </w:pPr>
      <w:bookmarkStart w:id="268" w:name="_Toc30778"/>
      <w:bookmarkStart w:id="269" w:name="_Toc16984"/>
      <w:bookmarkStart w:id="270" w:name="_Toc79479615"/>
      <w:bookmarkStart w:id="271" w:name="bookmark419"/>
      <w:bookmarkStart w:id="272" w:name="bookmark420"/>
      <w:bookmarkStart w:id="273" w:name="bookmark418"/>
      <w:r>
        <w:rPr>
          <w:rFonts w:ascii="宋体" w:hAnsi="宋体" w:cs="宋体"/>
          <w:color w:val="auto"/>
          <w:sz w:val="21"/>
          <w:szCs w:val="21"/>
          <w:highlight w:val="none"/>
          <w:lang w:eastAsia="zh-CN"/>
        </w:rPr>
        <w:t xml:space="preserve">7.2 </w:t>
      </w:r>
      <w:r>
        <w:rPr>
          <w:rFonts w:hint="eastAsia" w:ascii="宋体" w:hAnsi="宋体" w:cs="宋体"/>
          <w:color w:val="auto"/>
          <w:sz w:val="21"/>
          <w:szCs w:val="21"/>
          <w:highlight w:val="none"/>
          <w:lang w:eastAsia="zh-CN"/>
        </w:rPr>
        <w:t>确定预成交供应商</w:t>
      </w:r>
      <w:bookmarkEnd w:id="268"/>
      <w:bookmarkEnd w:id="269"/>
      <w:bookmarkEnd w:id="270"/>
      <w:bookmarkEnd w:id="271"/>
      <w:bookmarkEnd w:id="272"/>
      <w:bookmarkEnd w:id="273"/>
    </w:p>
    <w:p>
      <w:pPr>
        <w:pStyle w:val="46"/>
        <w:keepNext/>
        <w:spacing w:line="360" w:lineRule="auto"/>
        <w:ind w:firstLine="420" w:firstLineChars="200"/>
        <w:rPr>
          <w:color w:val="auto"/>
          <w:sz w:val="21"/>
          <w:szCs w:val="21"/>
          <w:highlight w:val="none"/>
          <w:lang w:eastAsia="zh-CN"/>
        </w:rPr>
      </w:pPr>
      <w:r>
        <w:rPr>
          <w:rFonts w:hint="eastAsia"/>
          <w:color w:val="auto"/>
          <w:sz w:val="21"/>
          <w:szCs w:val="21"/>
          <w:highlight w:val="none"/>
        </w:rPr>
        <w:t>采购人将根据评审报告及核查结果</w:t>
      </w:r>
      <w:r>
        <w:rPr>
          <w:color w:val="auto"/>
          <w:sz w:val="21"/>
          <w:szCs w:val="21"/>
          <w:highlight w:val="none"/>
        </w:rPr>
        <w:t>(</w:t>
      </w:r>
      <w:r>
        <w:rPr>
          <w:rFonts w:hint="eastAsia"/>
          <w:color w:val="auto"/>
          <w:sz w:val="21"/>
          <w:szCs w:val="21"/>
          <w:highlight w:val="none"/>
        </w:rPr>
        <w:t>如有</w:t>
      </w:r>
      <w:r>
        <w:rPr>
          <w:color w:val="auto"/>
          <w:sz w:val="21"/>
          <w:szCs w:val="21"/>
          <w:highlight w:val="none"/>
        </w:rPr>
        <w:t>)</w:t>
      </w:r>
      <w:r>
        <w:rPr>
          <w:rFonts w:hint="eastAsia"/>
          <w:color w:val="auto"/>
          <w:sz w:val="21"/>
          <w:szCs w:val="21"/>
          <w:highlight w:val="none"/>
        </w:rPr>
        <w:t>，对成交供应商综合评估后确定预成交供应商。</w:t>
      </w:r>
    </w:p>
    <w:p>
      <w:pPr>
        <w:pStyle w:val="5"/>
        <w:keepLines w:val="0"/>
        <w:spacing w:before="0" w:after="0" w:line="360" w:lineRule="auto"/>
        <w:ind w:firstLine="422"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7.3候选成交供应商公示</w:t>
      </w:r>
    </w:p>
    <w:p>
      <w:pPr>
        <w:pStyle w:val="46"/>
        <w:keepNext/>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国有资金占控股或主导地位的采购项目和属于依法必须招标范围但符合规定免于招标的项目（依法保密的采购项目除外），应公示候选成交供应商，公示媒介应符合《非招标方式采购代理服务规范》要求。</w:t>
      </w:r>
    </w:p>
    <w:p>
      <w:pPr>
        <w:pStyle w:val="46"/>
        <w:keepNext/>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候选成交供应商选定后，采购人将按照供应商须知前附表规定的公示媒介和公示期限进行公示，公示信息包括如下内容:</w:t>
      </w:r>
    </w:p>
    <w:p>
      <w:pPr>
        <w:pStyle w:val="46"/>
        <w:keepNext/>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(1)所有候选成交供应商名称、响应价格及服务期限；</w:t>
      </w:r>
    </w:p>
    <w:p>
      <w:pPr>
        <w:pStyle w:val="46"/>
        <w:keepNext/>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(2)供应商须知前附表规定的其他内容。</w:t>
      </w:r>
    </w:p>
    <w:p>
      <w:pPr>
        <w:pStyle w:val="5"/>
        <w:keepLines w:val="0"/>
        <w:spacing w:before="0" w:after="0" w:line="360" w:lineRule="auto"/>
        <w:ind w:firstLine="422" w:firstLineChars="200"/>
        <w:rPr>
          <w:rFonts w:ascii="宋体"/>
          <w:color w:val="auto"/>
          <w:sz w:val="21"/>
          <w:szCs w:val="21"/>
          <w:highlight w:val="none"/>
          <w:lang w:eastAsia="zh-CN"/>
        </w:rPr>
      </w:pPr>
      <w:bookmarkStart w:id="274" w:name="bookmark428"/>
      <w:bookmarkStart w:id="275" w:name="bookmark429"/>
      <w:bookmarkStart w:id="276" w:name="_Toc79479616"/>
      <w:bookmarkStart w:id="277" w:name="bookmark427"/>
      <w:bookmarkStart w:id="278" w:name="_Toc10875"/>
      <w:bookmarkStart w:id="279" w:name="_Toc20911"/>
      <w:r>
        <w:rPr>
          <w:rFonts w:ascii="宋体" w:hAnsi="宋体" w:cs="宋体"/>
          <w:color w:val="auto"/>
          <w:sz w:val="21"/>
          <w:szCs w:val="21"/>
          <w:highlight w:val="none"/>
          <w:lang w:eastAsia="zh-CN"/>
        </w:rPr>
        <w:t>7.</w:t>
      </w:r>
      <w:r>
        <w:rPr>
          <w:rFonts w:hint="eastAsia" w:ascii="宋体" w:hAnsi="宋体" w:cs="宋体"/>
          <w:color w:val="auto"/>
          <w:sz w:val="21"/>
          <w:szCs w:val="21"/>
          <w:highlight w:val="none"/>
          <w:lang w:eastAsia="zh-CN"/>
        </w:rPr>
        <w:t>4发出成交通知书</w:t>
      </w:r>
      <w:bookmarkEnd w:id="274"/>
      <w:bookmarkEnd w:id="275"/>
      <w:bookmarkEnd w:id="276"/>
      <w:bookmarkEnd w:id="277"/>
      <w:bookmarkEnd w:id="278"/>
      <w:bookmarkEnd w:id="279"/>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公示期结束后，在本章第</w:t>
      </w:r>
      <w:r>
        <w:rPr>
          <w:color w:val="auto"/>
          <w:sz w:val="21"/>
          <w:szCs w:val="21"/>
          <w:highlight w:val="none"/>
          <w:lang w:val="en-US" w:eastAsia="zh-CN"/>
        </w:rPr>
        <w:t>3.</w:t>
      </w:r>
      <w:r>
        <w:rPr>
          <w:color w:val="auto"/>
          <w:sz w:val="21"/>
          <w:szCs w:val="21"/>
          <w:highlight w:val="none"/>
        </w:rPr>
        <w:t>3</w:t>
      </w:r>
      <w:r>
        <w:rPr>
          <w:rFonts w:hint="eastAsia"/>
          <w:color w:val="auto"/>
          <w:sz w:val="21"/>
          <w:szCs w:val="21"/>
          <w:highlight w:val="none"/>
        </w:rPr>
        <w:t>款规定的响应文件有效期内，采购人以书面形式向预成交供应商发出成交通知书。</w:t>
      </w:r>
    </w:p>
    <w:p>
      <w:pPr>
        <w:pStyle w:val="5"/>
        <w:keepLines w:val="0"/>
        <w:spacing w:before="0" w:after="0" w:line="360" w:lineRule="auto"/>
        <w:ind w:firstLine="422" w:firstLineChars="200"/>
        <w:rPr>
          <w:rFonts w:ascii="宋体"/>
          <w:color w:val="auto"/>
          <w:sz w:val="21"/>
          <w:szCs w:val="21"/>
          <w:highlight w:val="none"/>
          <w:lang w:eastAsia="zh-CN"/>
        </w:rPr>
      </w:pPr>
      <w:bookmarkStart w:id="280" w:name="_Toc21253"/>
      <w:bookmarkStart w:id="281" w:name="bookmark430"/>
      <w:bookmarkStart w:id="282" w:name="_Toc79479617"/>
      <w:bookmarkStart w:id="283" w:name="bookmark432"/>
      <w:bookmarkStart w:id="284" w:name="bookmark431"/>
      <w:bookmarkStart w:id="285" w:name="_Toc28023"/>
      <w:r>
        <w:rPr>
          <w:rFonts w:ascii="宋体" w:hAnsi="宋体" w:cs="宋体"/>
          <w:color w:val="auto"/>
          <w:sz w:val="21"/>
          <w:szCs w:val="21"/>
          <w:highlight w:val="none"/>
          <w:lang w:eastAsia="zh-CN"/>
        </w:rPr>
        <w:t>7.</w:t>
      </w:r>
      <w:r>
        <w:rPr>
          <w:rFonts w:hint="eastAsia" w:ascii="宋体" w:hAnsi="宋体" w:cs="宋体"/>
          <w:color w:val="auto"/>
          <w:sz w:val="21"/>
          <w:szCs w:val="21"/>
          <w:highlight w:val="none"/>
          <w:lang w:eastAsia="zh-CN"/>
        </w:rPr>
        <w:t>5发布成交公告</w:t>
      </w:r>
      <w:bookmarkEnd w:id="280"/>
      <w:bookmarkEnd w:id="281"/>
      <w:bookmarkEnd w:id="282"/>
      <w:bookmarkEnd w:id="283"/>
      <w:bookmarkEnd w:id="284"/>
      <w:bookmarkEnd w:id="285"/>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在发出成交通知书的同时，釆购人将在供应商须知前附表规定的公告媒介发布成交公告，公告信息包括成交供应商名称、响应价格及</w:t>
      </w:r>
      <w:r>
        <w:rPr>
          <w:rFonts w:hint="eastAsia"/>
          <w:color w:val="auto"/>
          <w:sz w:val="21"/>
          <w:szCs w:val="21"/>
          <w:highlight w:val="none"/>
          <w:lang w:eastAsia="zh-CN"/>
        </w:rPr>
        <w:t>建设</w:t>
      </w:r>
      <w:r>
        <w:rPr>
          <w:rFonts w:hint="eastAsia"/>
          <w:color w:val="auto"/>
          <w:sz w:val="21"/>
          <w:szCs w:val="21"/>
          <w:highlight w:val="none"/>
        </w:rPr>
        <w:t>周期及供应商须知前附表规定的其他内容。</w:t>
      </w:r>
    </w:p>
    <w:p>
      <w:pPr>
        <w:pStyle w:val="5"/>
        <w:keepLines w:val="0"/>
        <w:spacing w:before="0" w:after="0" w:line="360" w:lineRule="auto"/>
        <w:ind w:firstLine="422" w:firstLineChars="200"/>
        <w:rPr>
          <w:rFonts w:ascii="宋体"/>
          <w:color w:val="auto"/>
          <w:sz w:val="21"/>
          <w:szCs w:val="21"/>
          <w:highlight w:val="none"/>
          <w:lang w:eastAsia="zh-CN"/>
        </w:rPr>
      </w:pPr>
      <w:bookmarkStart w:id="286" w:name="bookmark434"/>
      <w:bookmarkStart w:id="287" w:name="_Toc26855"/>
      <w:bookmarkStart w:id="288" w:name="_Toc79479618"/>
      <w:bookmarkStart w:id="289" w:name="_Toc1480"/>
      <w:bookmarkStart w:id="290" w:name="bookmark435"/>
      <w:bookmarkStart w:id="291" w:name="bookmark433"/>
      <w:r>
        <w:rPr>
          <w:rFonts w:ascii="宋体" w:hAnsi="宋体" w:cs="宋体"/>
          <w:color w:val="auto"/>
          <w:sz w:val="21"/>
          <w:szCs w:val="21"/>
          <w:highlight w:val="none"/>
          <w:lang w:eastAsia="zh-CN"/>
        </w:rPr>
        <w:t>7.</w:t>
      </w:r>
      <w:r>
        <w:rPr>
          <w:rFonts w:hint="eastAsia" w:ascii="宋体" w:hAnsi="宋体" w:cs="宋体"/>
          <w:color w:val="auto"/>
          <w:sz w:val="21"/>
          <w:szCs w:val="21"/>
          <w:highlight w:val="none"/>
          <w:lang w:eastAsia="zh-CN"/>
        </w:rPr>
        <w:t>6履约保证金</w:t>
      </w:r>
      <w:bookmarkEnd w:id="286"/>
      <w:bookmarkEnd w:id="287"/>
      <w:bookmarkEnd w:id="288"/>
      <w:bookmarkEnd w:id="289"/>
      <w:bookmarkEnd w:id="290"/>
      <w:bookmarkEnd w:id="291"/>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w:t>
      </w:r>
      <w:r>
        <w:rPr>
          <w:color w:val="auto"/>
          <w:sz w:val="21"/>
          <w:szCs w:val="21"/>
          <w:highlight w:val="none"/>
        </w:rPr>
        <w:t>5%</w:t>
      </w:r>
      <w:r>
        <w:rPr>
          <w:rFonts w:hint="eastAsia"/>
          <w:color w:val="auto"/>
          <w:sz w:val="21"/>
          <w:szCs w:val="21"/>
          <w:highlight w:val="none"/>
        </w:rPr>
        <w:t>。</w:t>
      </w:r>
    </w:p>
    <w:p>
      <w:pPr>
        <w:pStyle w:val="5"/>
        <w:keepLines w:val="0"/>
        <w:spacing w:before="0" w:after="0" w:line="360" w:lineRule="auto"/>
        <w:ind w:firstLine="422" w:firstLineChars="200"/>
        <w:rPr>
          <w:rFonts w:ascii="宋体"/>
          <w:color w:val="auto"/>
          <w:sz w:val="21"/>
          <w:szCs w:val="21"/>
          <w:highlight w:val="none"/>
          <w:lang w:eastAsia="zh-CN"/>
        </w:rPr>
      </w:pPr>
      <w:bookmarkStart w:id="292" w:name="_Toc22342"/>
      <w:bookmarkStart w:id="293" w:name="bookmark437"/>
      <w:bookmarkStart w:id="294" w:name="_Toc79479619"/>
      <w:bookmarkStart w:id="295" w:name="bookmark436"/>
      <w:bookmarkStart w:id="296" w:name="_Toc11189"/>
      <w:bookmarkStart w:id="297" w:name="bookmark438"/>
      <w:r>
        <w:rPr>
          <w:rFonts w:ascii="宋体" w:hAnsi="宋体" w:cs="宋体"/>
          <w:color w:val="auto"/>
          <w:sz w:val="21"/>
          <w:szCs w:val="21"/>
          <w:highlight w:val="none"/>
          <w:lang w:eastAsia="zh-CN"/>
        </w:rPr>
        <w:t>7.</w:t>
      </w:r>
      <w:r>
        <w:rPr>
          <w:rFonts w:hint="eastAsia" w:ascii="宋体" w:hAnsi="宋体" w:cs="宋体"/>
          <w:color w:val="auto"/>
          <w:sz w:val="21"/>
          <w:szCs w:val="21"/>
          <w:highlight w:val="none"/>
          <w:lang w:eastAsia="zh-CN"/>
        </w:rPr>
        <w:t>7签订合同</w:t>
      </w:r>
      <w:bookmarkEnd w:id="292"/>
      <w:bookmarkEnd w:id="293"/>
      <w:bookmarkEnd w:id="294"/>
      <w:bookmarkEnd w:id="295"/>
      <w:bookmarkEnd w:id="296"/>
      <w:bookmarkEnd w:id="297"/>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7.</w:t>
      </w:r>
      <w:r>
        <w:rPr>
          <w:rFonts w:hint="eastAsia"/>
          <w:color w:val="auto"/>
          <w:sz w:val="21"/>
          <w:szCs w:val="21"/>
          <w:highlight w:val="none"/>
          <w:lang w:val="en-US" w:eastAsia="zh-CN"/>
        </w:rPr>
        <w:t>7</w:t>
      </w:r>
      <w:r>
        <w:rPr>
          <w:color w:val="auto"/>
          <w:sz w:val="21"/>
          <w:szCs w:val="21"/>
          <w:highlight w:val="none"/>
          <w:lang w:val="en-US" w:eastAsia="zh-CN"/>
        </w:rPr>
        <w:t>.</w:t>
      </w:r>
      <w:r>
        <w:rPr>
          <w:color w:val="auto"/>
          <w:sz w:val="21"/>
          <w:szCs w:val="21"/>
          <w:highlight w:val="none"/>
        </w:rPr>
        <w:t>1</w:t>
      </w:r>
      <w:r>
        <w:rPr>
          <w:rFonts w:hint="eastAsia"/>
          <w:color w:val="auto"/>
          <w:sz w:val="21"/>
          <w:szCs w:val="21"/>
          <w:highlight w:val="none"/>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w:t>
      </w:r>
      <w:r>
        <w:rPr>
          <w:color w:val="auto"/>
          <w:sz w:val="21"/>
          <w:szCs w:val="21"/>
          <w:highlight w:val="none"/>
        </w:rPr>
        <w:t>;</w:t>
      </w:r>
      <w:r>
        <w:rPr>
          <w:rFonts w:hint="eastAsia"/>
          <w:color w:val="auto"/>
          <w:sz w:val="21"/>
          <w:szCs w:val="21"/>
          <w:highlight w:val="none"/>
        </w:rPr>
        <w:t>给采购人造成的损失超过响应保证金数额的，成交供应商还应当对超过部分予以赔偿。</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7.</w:t>
      </w:r>
      <w:r>
        <w:rPr>
          <w:rFonts w:hint="eastAsia"/>
          <w:color w:val="auto"/>
          <w:sz w:val="21"/>
          <w:szCs w:val="21"/>
          <w:highlight w:val="none"/>
          <w:lang w:val="en-US" w:eastAsia="zh-CN"/>
        </w:rPr>
        <w:t>7</w:t>
      </w:r>
      <w:r>
        <w:rPr>
          <w:color w:val="auto"/>
          <w:sz w:val="21"/>
          <w:szCs w:val="21"/>
          <w:highlight w:val="none"/>
          <w:lang w:val="en-US" w:eastAsia="zh-CN"/>
        </w:rPr>
        <w:t xml:space="preserve">.2 </w:t>
      </w:r>
      <w:r>
        <w:rPr>
          <w:rFonts w:hint="eastAsia"/>
          <w:color w:val="auto"/>
          <w:sz w:val="21"/>
          <w:szCs w:val="21"/>
          <w:highlight w:val="none"/>
        </w:rPr>
        <w:t>发岀成交通知书后，釆购人无正当理由拒绝签订合同，或者在签订合同时向成交供应商提出附加条件的，采购人向成交供应商退还响应保证金；给成交供应商造成损失的，还应当赔偿损失。</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7.</w:t>
      </w:r>
      <w:r>
        <w:rPr>
          <w:rFonts w:hint="eastAsia"/>
          <w:color w:val="auto"/>
          <w:sz w:val="21"/>
          <w:szCs w:val="21"/>
          <w:highlight w:val="none"/>
          <w:lang w:val="en-US" w:eastAsia="zh-CN"/>
        </w:rPr>
        <w:t>7</w:t>
      </w:r>
      <w:r>
        <w:rPr>
          <w:color w:val="auto"/>
          <w:sz w:val="21"/>
          <w:szCs w:val="21"/>
          <w:highlight w:val="none"/>
          <w:lang w:val="en-US" w:eastAsia="zh-CN"/>
        </w:rPr>
        <w:t xml:space="preserve">.3 </w:t>
      </w:r>
      <w:r>
        <w:rPr>
          <w:rFonts w:hint="eastAsia"/>
          <w:color w:val="auto"/>
          <w:sz w:val="21"/>
          <w:szCs w:val="21"/>
          <w:highlight w:val="none"/>
        </w:rPr>
        <w:t>联合体成交的，联合体各方应当共同与采购人签订合同，就成交项目向采购人承担连带责任。</w:t>
      </w:r>
    </w:p>
    <w:p>
      <w:pPr>
        <w:pStyle w:val="46"/>
        <w:keepNext/>
        <w:spacing w:line="360" w:lineRule="auto"/>
        <w:ind w:firstLine="420" w:firstLineChars="200"/>
        <w:rPr>
          <w:rFonts w:cs="Times New Roman"/>
          <w:color w:val="auto"/>
          <w:sz w:val="21"/>
          <w:szCs w:val="21"/>
          <w:highlight w:val="none"/>
          <w:lang w:val="en-US" w:eastAsia="zh-CN"/>
        </w:rPr>
      </w:pPr>
      <w:r>
        <w:rPr>
          <w:color w:val="auto"/>
          <w:sz w:val="21"/>
          <w:szCs w:val="21"/>
          <w:highlight w:val="none"/>
          <w:lang w:val="en-US" w:eastAsia="zh-CN"/>
        </w:rPr>
        <w:t>7.</w:t>
      </w:r>
      <w:r>
        <w:rPr>
          <w:rFonts w:hint="eastAsia"/>
          <w:color w:val="auto"/>
          <w:sz w:val="21"/>
          <w:szCs w:val="21"/>
          <w:highlight w:val="none"/>
          <w:lang w:val="en-US" w:eastAsia="zh-CN"/>
        </w:rPr>
        <w:t>7</w:t>
      </w:r>
      <w:r>
        <w:rPr>
          <w:color w:val="auto"/>
          <w:sz w:val="21"/>
          <w:szCs w:val="21"/>
          <w:highlight w:val="none"/>
          <w:lang w:val="en-US" w:eastAsia="zh-CN"/>
        </w:rPr>
        <w:t xml:space="preserve">.4 </w:t>
      </w:r>
      <w:r>
        <w:rPr>
          <w:rFonts w:hint="eastAsia"/>
          <w:color w:val="auto"/>
          <w:sz w:val="21"/>
          <w:szCs w:val="21"/>
          <w:highlight w:val="none"/>
        </w:rPr>
        <w:t>除供应商须知前附表另有规定外，按照第三章</w:t>
      </w:r>
      <w:r>
        <w:rPr>
          <w:rFonts w:hint="eastAsia"/>
          <w:color w:val="auto"/>
          <w:sz w:val="21"/>
          <w:szCs w:val="21"/>
          <w:highlight w:val="none"/>
          <w:lang w:val="zh-CN" w:eastAsia="zh-CN"/>
        </w:rPr>
        <w:t>“评审</w:t>
      </w:r>
      <w:r>
        <w:rPr>
          <w:rFonts w:hint="eastAsia"/>
          <w:color w:val="auto"/>
          <w:sz w:val="21"/>
          <w:szCs w:val="21"/>
          <w:highlight w:val="none"/>
        </w:rPr>
        <w:t>办法”第</w:t>
      </w:r>
      <w:r>
        <w:rPr>
          <w:color w:val="auto"/>
          <w:sz w:val="21"/>
          <w:szCs w:val="21"/>
          <w:highlight w:val="none"/>
          <w:lang w:val="en-US" w:eastAsia="zh-CN"/>
        </w:rPr>
        <w:t>2.2.3</w:t>
      </w:r>
      <w:r>
        <w:rPr>
          <w:rFonts w:hint="eastAsia"/>
          <w:color w:val="auto"/>
          <w:sz w:val="21"/>
          <w:szCs w:val="21"/>
          <w:highlight w:val="none"/>
        </w:rPr>
        <w:t>项规定对</w:t>
      </w:r>
      <w:r>
        <w:rPr>
          <w:rFonts w:hint="eastAsia"/>
          <w:color w:val="auto"/>
          <w:sz w:val="21"/>
          <w:szCs w:val="21"/>
          <w:highlight w:val="none"/>
          <w:lang w:eastAsia="zh-CN"/>
        </w:rPr>
        <w:t>响应</w:t>
      </w:r>
      <w:r>
        <w:rPr>
          <w:rFonts w:hint="eastAsia"/>
          <w:color w:val="auto"/>
          <w:sz w:val="21"/>
          <w:szCs w:val="21"/>
          <w:highlight w:val="none"/>
        </w:rPr>
        <w:t>报价进行修正后，若修正后的</w:t>
      </w:r>
      <w:r>
        <w:rPr>
          <w:rFonts w:hint="eastAsia"/>
          <w:color w:val="auto"/>
          <w:sz w:val="21"/>
          <w:szCs w:val="21"/>
          <w:highlight w:val="none"/>
          <w:lang w:eastAsia="zh-CN"/>
        </w:rPr>
        <w:t>响应</w:t>
      </w:r>
      <w:r>
        <w:rPr>
          <w:rFonts w:hint="eastAsia"/>
          <w:color w:val="auto"/>
          <w:sz w:val="21"/>
          <w:szCs w:val="21"/>
          <w:highlight w:val="none"/>
        </w:rPr>
        <w:t>报价小于按照第三章</w:t>
      </w:r>
      <w:r>
        <w:rPr>
          <w:rFonts w:hint="eastAsia"/>
          <w:color w:val="auto"/>
          <w:sz w:val="21"/>
          <w:szCs w:val="21"/>
          <w:highlight w:val="none"/>
          <w:lang w:val="zh-CN" w:eastAsia="zh-CN"/>
        </w:rPr>
        <w:t>“评审</w:t>
      </w:r>
      <w:r>
        <w:rPr>
          <w:rFonts w:hint="eastAsia"/>
          <w:color w:val="auto"/>
          <w:sz w:val="21"/>
          <w:szCs w:val="21"/>
          <w:highlight w:val="none"/>
        </w:rPr>
        <w:t>办法”第</w:t>
      </w:r>
      <w:r>
        <w:rPr>
          <w:color w:val="auto"/>
          <w:sz w:val="21"/>
          <w:szCs w:val="21"/>
          <w:highlight w:val="none"/>
          <w:lang w:val="en-US" w:eastAsia="zh-CN"/>
        </w:rPr>
        <w:t>2.2.2</w:t>
      </w:r>
      <w:r>
        <w:rPr>
          <w:rFonts w:hint="eastAsia"/>
          <w:color w:val="auto"/>
          <w:sz w:val="21"/>
          <w:szCs w:val="21"/>
          <w:highlight w:val="none"/>
        </w:rPr>
        <w:t>项规定确定的评审价格，则签订合同时以修正后的</w:t>
      </w:r>
      <w:r>
        <w:rPr>
          <w:rFonts w:hint="eastAsia"/>
          <w:color w:val="auto"/>
          <w:sz w:val="21"/>
          <w:szCs w:val="21"/>
          <w:highlight w:val="none"/>
          <w:lang w:eastAsia="zh-CN"/>
        </w:rPr>
        <w:t>响应</w:t>
      </w:r>
      <w:r>
        <w:rPr>
          <w:rFonts w:hint="eastAsia"/>
          <w:color w:val="auto"/>
          <w:sz w:val="21"/>
          <w:szCs w:val="21"/>
          <w:highlight w:val="none"/>
        </w:rPr>
        <w:t>报价为准；若修正后的</w:t>
      </w:r>
      <w:r>
        <w:rPr>
          <w:rFonts w:hint="eastAsia"/>
          <w:color w:val="auto"/>
          <w:sz w:val="21"/>
          <w:szCs w:val="21"/>
          <w:highlight w:val="none"/>
          <w:lang w:eastAsia="zh-CN"/>
        </w:rPr>
        <w:t>响应</w:t>
      </w:r>
      <w:r>
        <w:rPr>
          <w:rFonts w:hint="eastAsia"/>
          <w:color w:val="auto"/>
          <w:sz w:val="21"/>
          <w:szCs w:val="21"/>
          <w:highlight w:val="none"/>
        </w:rPr>
        <w:t>报价大于评审价格，则签订合同时以评审价格为准，同时按比例修正相应子目的单价或合价</w:t>
      </w:r>
      <w:r>
        <w:rPr>
          <w:color w:val="auto"/>
          <w:sz w:val="21"/>
          <w:szCs w:val="21"/>
          <w:highlight w:val="none"/>
        </w:rPr>
        <w:t>(</w:t>
      </w:r>
      <w:r>
        <w:rPr>
          <w:rFonts w:hint="eastAsia"/>
          <w:color w:val="auto"/>
          <w:sz w:val="21"/>
          <w:szCs w:val="21"/>
          <w:highlight w:val="none"/>
        </w:rPr>
        <w:t>采购文件不允许调整的费率和金额除外</w:t>
      </w:r>
      <w:r>
        <w:rPr>
          <w:color w:val="auto"/>
          <w:sz w:val="21"/>
          <w:szCs w:val="21"/>
          <w:highlight w:val="none"/>
        </w:rPr>
        <w:t>)</w:t>
      </w:r>
      <w:r>
        <w:rPr>
          <w:rFonts w:hint="eastAsia"/>
          <w:color w:val="auto"/>
          <w:sz w:val="21"/>
          <w:szCs w:val="21"/>
          <w:highlight w:val="none"/>
        </w:rPr>
        <w:t>。</w:t>
      </w:r>
    </w:p>
    <w:p>
      <w:pPr>
        <w:pStyle w:val="5"/>
        <w:keepLines w:val="0"/>
        <w:spacing w:before="0" w:after="0" w:line="360" w:lineRule="auto"/>
        <w:ind w:firstLine="422" w:firstLineChars="200"/>
        <w:rPr>
          <w:rFonts w:ascii="宋体"/>
          <w:color w:val="auto"/>
          <w:sz w:val="21"/>
          <w:szCs w:val="21"/>
          <w:highlight w:val="none"/>
          <w:lang w:eastAsia="zh-CN"/>
        </w:rPr>
      </w:pPr>
      <w:bookmarkStart w:id="298" w:name="_Toc79479620"/>
      <w:bookmarkStart w:id="299" w:name="bookmark439"/>
      <w:bookmarkStart w:id="300" w:name="bookmark440"/>
      <w:bookmarkStart w:id="301" w:name="_Toc17161"/>
      <w:bookmarkStart w:id="302" w:name="bookmark441"/>
      <w:bookmarkStart w:id="303" w:name="_Toc30011"/>
      <w:r>
        <w:rPr>
          <w:rFonts w:ascii="宋体" w:hAnsi="宋体" w:cs="宋体"/>
          <w:color w:val="auto"/>
          <w:sz w:val="21"/>
          <w:szCs w:val="21"/>
          <w:highlight w:val="none"/>
          <w:lang w:eastAsia="zh-CN"/>
        </w:rPr>
        <w:t>7.</w:t>
      </w:r>
      <w:r>
        <w:rPr>
          <w:rFonts w:hint="eastAsia" w:ascii="宋体" w:hAnsi="宋体" w:cs="宋体"/>
          <w:color w:val="auto"/>
          <w:sz w:val="21"/>
          <w:szCs w:val="21"/>
          <w:highlight w:val="none"/>
          <w:lang w:eastAsia="zh-CN"/>
        </w:rPr>
        <w:t>8特殊情形处理</w:t>
      </w:r>
      <w:bookmarkEnd w:id="298"/>
      <w:bookmarkEnd w:id="299"/>
      <w:bookmarkEnd w:id="300"/>
      <w:bookmarkEnd w:id="301"/>
      <w:bookmarkEnd w:id="302"/>
      <w:bookmarkEnd w:id="303"/>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pStyle w:val="4"/>
        <w:keepLines w:val="0"/>
        <w:spacing w:before="0" w:after="0" w:line="360" w:lineRule="auto"/>
        <w:ind w:firstLine="422" w:firstLineChars="200"/>
        <w:rPr>
          <w:rFonts w:ascii="宋体"/>
          <w:color w:val="auto"/>
          <w:sz w:val="21"/>
          <w:szCs w:val="21"/>
          <w:highlight w:val="none"/>
          <w:lang w:eastAsia="zh-CN"/>
        </w:rPr>
      </w:pPr>
      <w:bookmarkStart w:id="304" w:name="bookmark443"/>
      <w:bookmarkStart w:id="305" w:name="_Toc17996"/>
      <w:bookmarkStart w:id="306" w:name="bookmark442"/>
      <w:bookmarkStart w:id="307" w:name="_Toc3829"/>
      <w:bookmarkStart w:id="308" w:name="_Toc79479621"/>
      <w:bookmarkStart w:id="309" w:name="bookmark444"/>
      <w:r>
        <w:rPr>
          <w:rFonts w:ascii="宋体" w:hAnsi="宋体" w:cs="宋体"/>
          <w:color w:val="auto"/>
          <w:sz w:val="21"/>
          <w:szCs w:val="21"/>
          <w:highlight w:val="none"/>
          <w:lang w:eastAsia="zh-CN"/>
        </w:rPr>
        <w:t xml:space="preserve">8 </w:t>
      </w:r>
      <w:r>
        <w:rPr>
          <w:rFonts w:hint="eastAsia" w:ascii="宋体" w:hAnsi="宋体" w:cs="宋体"/>
          <w:color w:val="auto"/>
          <w:sz w:val="21"/>
          <w:szCs w:val="21"/>
          <w:highlight w:val="none"/>
          <w:lang w:eastAsia="zh-CN"/>
        </w:rPr>
        <w:t>异议</w:t>
      </w:r>
      <w:bookmarkEnd w:id="304"/>
      <w:bookmarkEnd w:id="305"/>
      <w:bookmarkEnd w:id="306"/>
      <w:bookmarkEnd w:id="307"/>
      <w:bookmarkEnd w:id="308"/>
      <w:bookmarkEnd w:id="309"/>
    </w:p>
    <w:p>
      <w:pPr>
        <w:pStyle w:val="5"/>
        <w:keepLines w:val="0"/>
        <w:spacing w:before="0" w:after="0" w:line="360" w:lineRule="auto"/>
        <w:ind w:firstLine="422" w:firstLineChars="200"/>
        <w:rPr>
          <w:rFonts w:ascii="宋体"/>
          <w:color w:val="auto"/>
          <w:sz w:val="21"/>
          <w:szCs w:val="21"/>
          <w:highlight w:val="none"/>
          <w:lang w:eastAsia="zh-CN"/>
        </w:rPr>
      </w:pPr>
      <w:bookmarkStart w:id="310" w:name="bookmark447"/>
      <w:bookmarkStart w:id="311" w:name="bookmark446"/>
      <w:bookmarkStart w:id="312" w:name="_Toc26444"/>
      <w:bookmarkStart w:id="313" w:name="bookmark445"/>
      <w:bookmarkStart w:id="314" w:name="_Toc79479622"/>
      <w:bookmarkStart w:id="315" w:name="_Toc9812"/>
      <w:r>
        <w:rPr>
          <w:rFonts w:ascii="宋体" w:hAnsi="宋体" w:cs="宋体"/>
          <w:color w:val="auto"/>
          <w:sz w:val="21"/>
          <w:szCs w:val="21"/>
          <w:highlight w:val="none"/>
          <w:lang w:eastAsia="zh-CN"/>
        </w:rPr>
        <w:t xml:space="preserve">8.1 </w:t>
      </w:r>
      <w:r>
        <w:rPr>
          <w:rFonts w:hint="eastAsia" w:ascii="宋体" w:hAnsi="宋体" w:cs="宋体"/>
          <w:color w:val="auto"/>
          <w:sz w:val="21"/>
          <w:szCs w:val="21"/>
          <w:highlight w:val="none"/>
          <w:lang w:eastAsia="zh-CN"/>
        </w:rPr>
        <w:t>提出异议</w:t>
      </w:r>
      <w:bookmarkEnd w:id="310"/>
      <w:bookmarkEnd w:id="311"/>
      <w:bookmarkEnd w:id="312"/>
      <w:bookmarkEnd w:id="313"/>
      <w:bookmarkEnd w:id="314"/>
      <w:bookmarkEnd w:id="315"/>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供应商或者其他利害关系人可以对预成交结果提出异议。异议应在预成交结果公示期间通过供应商须知前附表规定的异议渠道提出，并递交异议函和必要的证明材料。异议函包括但不限于下列内容：</w:t>
      </w:r>
    </w:p>
    <w:p>
      <w:pPr>
        <w:pStyle w:val="46"/>
        <w:keepNext/>
        <w:tabs>
          <w:tab w:val="left" w:pos="1006"/>
        </w:tabs>
        <w:spacing w:line="360" w:lineRule="auto"/>
        <w:ind w:firstLine="420" w:firstLineChars="200"/>
        <w:rPr>
          <w:rFonts w:cs="Times New Roman"/>
          <w:color w:val="auto"/>
          <w:sz w:val="21"/>
          <w:szCs w:val="21"/>
          <w:highlight w:val="none"/>
        </w:rPr>
      </w:pPr>
      <w:bookmarkStart w:id="316" w:name="bookmark448"/>
      <w:bookmarkEnd w:id="316"/>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异议人名称、地址、邮政编码、联系人及联系电话；</w:t>
      </w:r>
    </w:p>
    <w:p>
      <w:pPr>
        <w:pStyle w:val="46"/>
        <w:keepNext/>
        <w:tabs>
          <w:tab w:val="left" w:pos="1006"/>
        </w:tabs>
        <w:spacing w:line="360" w:lineRule="auto"/>
        <w:ind w:firstLine="420" w:firstLineChars="200"/>
        <w:rPr>
          <w:rFonts w:cs="Times New Roman"/>
          <w:color w:val="auto"/>
          <w:sz w:val="21"/>
          <w:szCs w:val="21"/>
          <w:highlight w:val="none"/>
        </w:rPr>
      </w:pPr>
      <w:bookmarkStart w:id="317" w:name="bookmark449"/>
      <w:bookmarkEnd w:id="317"/>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具体、明确的异议事项、事实依据及与异议事项相关的请求。</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异议函应由异议人的法定代表人</w:t>
      </w:r>
      <w:r>
        <w:rPr>
          <w:color w:val="auto"/>
          <w:sz w:val="21"/>
          <w:szCs w:val="21"/>
          <w:highlight w:val="none"/>
        </w:rPr>
        <w:t>(</w:t>
      </w:r>
      <w:r>
        <w:rPr>
          <w:rFonts w:hint="eastAsia"/>
          <w:color w:val="auto"/>
          <w:sz w:val="21"/>
          <w:szCs w:val="21"/>
          <w:highlight w:val="none"/>
        </w:rPr>
        <w:t>单位负责人</w:t>
      </w:r>
      <w:r>
        <w:rPr>
          <w:color w:val="auto"/>
          <w:sz w:val="21"/>
          <w:szCs w:val="21"/>
          <w:highlight w:val="none"/>
        </w:rPr>
        <w:t>)</w:t>
      </w:r>
      <w:r>
        <w:rPr>
          <w:rFonts w:hint="eastAsia"/>
          <w:color w:val="auto"/>
          <w:sz w:val="21"/>
          <w:szCs w:val="21"/>
          <w:highlight w:val="none"/>
        </w:rPr>
        <w:t>或其授权的代理人签字并加盖单位章。</w:t>
      </w:r>
    </w:p>
    <w:p>
      <w:pPr>
        <w:pStyle w:val="5"/>
        <w:keepLines w:val="0"/>
        <w:spacing w:before="0" w:after="0" w:line="360" w:lineRule="auto"/>
        <w:ind w:firstLine="422" w:firstLineChars="200"/>
        <w:rPr>
          <w:rFonts w:ascii="宋体"/>
          <w:color w:val="auto"/>
          <w:sz w:val="21"/>
          <w:szCs w:val="21"/>
          <w:highlight w:val="none"/>
          <w:lang w:eastAsia="zh-CN"/>
        </w:rPr>
      </w:pPr>
      <w:bookmarkStart w:id="318" w:name="_Toc7228"/>
      <w:bookmarkStart w:id="319" w:name="_Toc18594"/>
      <w:bookmarkStart w:id="320" w:name="bookmark451"/>
      <w:bookmarkStart w:id="321" w:name="_Toc79479623"/>
      <w:bookmarkStart w:id="322" w:name="bookmark452"/>
      <w:bookmarkStart w:id="323" w:name="bookmark450"/>
      <w:r>
        <w:rPr>
          <w:rFonts w:ascii="宋体" w:hAnsi="宋体" w:cs="宋体"/>
          <w:color w:val="auto"/>
          <w:sz w:val="21"/>
          <w:szCs w:val="21"/>
          <w:highlight w:val="none"/>
          <w:lang w:eastAsia="zh-CN"/>
        </w:rPr>
        <w:t xml:space="preserve">8.2 </w:t>
      </w:r>
      <w:r>
        <w:rPr>
          <w:rFonts w:hint="eastAsia" w:ascii="宋体" w:hAnsi="宋体" w:cs="宋体"/>
          <w:color w:val="auto"/>
          <w:sz w:val="21"/>
          <w:szCs w:val="21"/>
          <w:highlight w:val="none"/>
          <w:lang w:eastAsia="zh-CN"/>
        </w:rPr>
        <w:t>异议处理</w:t>
      </w:r>
      <w:bookmarkEnd w:id="318"/>
      <w:bookmarkEnd w:id="319"/>
      <w:bookmarkEnd w:id="320"/>
      <w:bookmarkEnd w:id="321"/>
      <w:bookmarkEnd w:id="322"/>
      <w:bookmarkEnd w:id="323"/>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采购人将针对异议事项进行核查，经过核查，发现异议人对相关问题理解有误的，应作出解释；发现采购活动中确实存在错误或不当行为的，应及时予以改正或补救。</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采购人认为异议不成立或不影响采购结果的，可以继续进行采购活动。</w:t>
      </w:r>
    </w:p>
    <w:p>
      <w:pPr>
        <w:pStyle w:val="4"/>
        <w:keepLines w:val="0"/>
        <w:spacing w:before="0" w:after="0" w:line="360" w:lineRule="auto"/>
        <w:ind w:firstLine="422" w:firstLineChars="200"/>
        <w:rPr>
          <w:rFonts w:ascii="宋体"/>
          <w:color w:val="auto"/>
          <w:sz w:val="21"/>
          <w:szCs w:val="21"/>
          <w:highlight w:val="none"/>
          <w:lang w:eastAsia="zh-CN"/>
        </w:rPr>
      </w:pPr>
      <w:bookmarkStart w:id="324" w:name="_Toc2410"/>
      <w:bookmarkStart w:id="325" w:name="bookmark455"/>
      <w:bookmarkStart w:id="326" w:name="_Toc18836"/>
      <w:bookmarkStart w:id="327" w:name="bookmark453"/>
      <w:bookmarkStart w:id="328" w:name="bookmark454"/>
      <w:bookmarkStart w:id="329" w:name="_Toc79479624"/>
      <w:r>
        <w:rPr>
          <w:rFonts w:ascii="宋体" w:hAnsi="宋体" w:cs="宋体"/>
          <w:color w:val="auto"/>
          <w:sz w:val="21"/>
          <w:szCs w:val="21"/>
          <w:highlight w:val="none"/>
          <w:lang w:eastAsia="zh-CN"/>
        </w:rPr>
        <w:t xml:space="preserve">9 </w:t>
      </w:r>
      <w:r>
        <w:rPr>
          <w:rFonts w:hint="eastAsia" w:ascii="宋体" w:hAnsi="宋体" w:cs="宋体"/>
          <w:color w:val="auto"/>
          <w:sz w:val="21"/>
          <w:szCs w:val="21"/>
          <w:highlight w:val="none"/>
          <w:lang w:eastAsia="zh-CN"/>
        </w:rPr>
        <w:t>纪律要求</w:t>
      </w:r>
      <w:bookmarkEnd w:id="324"/>
      <w:bookmarkEnd w:id="325"/>
      <w:bookmarkEnd w:id="326"/>
      <w:bookmarkEnd w:id="327"/>
      <w:bookmarkEnd w:id="328"/>
      <w:bookmarkEnd w:id="329"/>
    </w:p>
    <w:p>
      <w:pPr>
        <w:pStyle w:val="5"/>
        <w:keepLines w:val="0"/>
        <w:spacing w:before="0" w:after="0" w:line="360" w:lineRule="auto"/>
        <w:ind w:firstLine="422" w:firstLineChars="200"/>
        <w:rPr>
          <w:rFonts w:ascii="宋体"/>
          <w:color w:val="auto"/>
          <w:sz w:val="21"/>
          <w:szCs w:val="21"/>
          <w:highlight w:val="none"/>
          <w:lang w:eastAsia="zh-CN"/>
        </w:rPr>
      </w:pPr>
      <w:bookmarkStart w:id="330" w:name="_Toc79479625"/>
      <w:bookmarkStart w:id="331" w:name="bookmark456"/>
      <w:bookmarkStart w:id="332" w:name="bookmark458"/>
      <w:bookmarkStart w:id="333" w:name="bookmark457"/>
      <w:bookmarkStart w:id="334" w:name="_Toc16911"/>
      <w:bookmarkStart w:id="335" w:name="_Toc3172"/>
      <w:r>
        <w:rPr>
          <w:rFonts w:ascii="宋体" w:hAnsi="宋体" w:cs="宋体"/>
          <w:color w:val="auto"/>
          <w:sz w:val="21"/>
          <w:szCs w:val="21"/>
          <w:highlight w:val="none"/>
          <w:lang w:eastAsia="zh-CN"/>
        </w:rPr>
        <w:t xml:space="preserve">9.1 </w:t>
      </w:r>
      <w:r>
        <w:rPr>
          <w:rFonts w:hint="eastAsia" w:ascii="宋体" w:hAnsi="宋体" w:cs="宋体"/>
          <w:color w:val="auto"/>
          <w:sz w:val="21"/>
          <w:szCs w:val="21"/>
          <w:highlight w:val="none"/>
          <w:lang w:eastAsia="zh-CN"/>
        </w:rPr>
        <w:t>对采购人的纪律要求</w:t>
      </w:r>
      <w:bookmarkEnd w:id="330"/>
      <w:bookmarkEnd w:id="331"/>
      <w:bookmarkEnd w:id="332"/>
      <w:bookmarkEnd w:id="333"/>
      <w:bookmarkEnd w:id="334"/>
      <w:bookmarkEnd w:id="335"/>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采购人不得泄露</w:t>
      </w:r>
      <w:r>
        <w:rPr>
          <w:rFonts w:hint="eastAsia"/>
          <w:color w:val="auto"/>
          <w:sz w:val="21"/>
          <w:szCs w:val="21"/>
          <w:highlight w:val="none"/>
          <w:lang w:eastAsia="zh-CN"/>
        </w:rPr>
        <w:t>询比</w:t>
      </w:r>
      <w:r>
        <w:rPr>
          <w:rFonts w:hint="eastAsia"/>
          <w:color w:val="auto"/>
          <w:sz w:val="21"/>
          <w:szCs w:val="21"/>
          <w:highlight w:val="none"/>
        </w:rPr>
        <w:t>釆购活动中应当保密的情况和资料，不得与供应商串通损害国家利益、社会公共利益或者他人合法权益。</w:t>
      </w:r>
    </w:p>
    <w:p>
      <w:pPr>
        <w:pStyle w:val="5"/>
        <w:keepLines w:val="0"/>
        <w:spacing w:before="0" w:after="0" w:line="360" w:lineRule="auto"/>
        <w:ind w:firstLine="422" w:firstLineChars="200"/>
        <w:rPr>
          <w:rFonts w:ascii="宋体"/>
          <w:color w:val="auto"/>
          <w:sz w:val="21"/>
          <w:szCs w:val="21"/>
          <w:highlight w:val="none"/>
          <w:lang w:eastAsia="zh-CN"/>
        </w:rPr>
      </w:pPr>
      <w:bookmarkStart w:id="336" w:name="_Toc79479626"/>
      <w:bookmarkStart w:id="337" w:name="_Toc15960"/>
      <w:bookmarkStart w:id="338" w:name="bookmark460"/>
      <w:bookmarkStart w:id="339" w:name="bookmark459"/>
      <w:bookmarkStart w:id="340" w:name="bookmark461"/>
      <w:bookmarkStart w:id="341" w:name="_Toc26648"/>
      <w:r>
        <w:rPr>
          <w:rFonts w:ascii="宋体" w:hAnsi="宋体" w:cs="宋体"/>
          <w:color w:val="auto"/>
          <w:sz w:val="21"/>
          <w:szCs w:val="21"/>
          <w:highlight w:val="none"/>
          <w:lang w:eastAsia="zh-CN"/>
        </w:rPr>
        <w:t xml:space="preserve">9.2 </w:t>
      </w:r>
      <w:r>
        <w:rPr>
          <w:rFonts w:hint="eastAsia" w:ascii="宋体" w:hAnsi="宋体" w:cs="宋体"/>
          <w:color w:val="auto"/>
          <w:sz w:val="21"/>
          <w:szCs w:val="21"/>
          <w:highlight w:val="none"/>
          <w:lang w:eastAsia="zh-CN"/>
        </w:rPr>
        <w:t>对供应商的纪律要求</w:t>
      </w:r>
      <w:bookmarkEnd w:id="336"/>
      <w:bookmarkEnd w:id="337"/>
      <w:bookmarkEnd w:id="338"/>
      <w:bookmarkEnd w:id="339"/>
      <w:bookmarkEnd w:id="340"/>
      <w:bookmarkEnd w:id="341"/>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供应商不得相互串通或者与采购人串通，不得向采购人或者</w:t>
      </w:r>
      <w:r>
        <w:rPr>
          <w:rFonts w:hint="eastAsia"/>
          <w:color w:val="auto"/>
          <w:sz w:val="21"/>
          <w:szCs w:val="21"/>
          <w:highlight w:val="none"/>
          <w:lang w:eastAsia="zh-CN"/>
        </w:rPr>
        <w:t>评审</w:t>
      </w:r>
      <w:r>
        <w:rPr>
          <w:rFonts w:hint="eastAsia"/>
          <w:color w:val="auto"/>
          <w:sz w:val="21"/>
          <w:szCs w:val="21"/>
          <w:highlight w:val="none"/>
        </w:rPr>
        <w:t>小组成员行贿谋取成交，不得以他人名义参加</w:t>
      </w:r>
      <w:r>
        <w:rPr>
          <w:rFonts w:hint="eastAsia"/>
          <w:color w:val="auto"/>
          <w:sz w:val="21"/>
          <w:szCs w:val="21"/>
          <w:highlight w:val="none"/>
          <w:lang w:eastAsia="zh-CN"/>
        </w:rPr>
        <w:t>询比</w:t>
      </w:r>
      <w:r>
        <w:rPr>
          <w:rFonts w:hint="eastAsia"/>
          <w:color w:val="auto"/>
          <w:sz w:val="21"/>
          <w:szCs w:val="21"/>
          <w:highlight w:val="none"/>
        </w:rPr>
        <w:t>采购活动或者以其他方式弄虚作假骗取成交；供应商不得以任何方式干扰、影响评审工作。</w:t>
      </w:r>
    </w:p>
    <w:p>
      <w:pPr>
        <w:pStyle w:val="5"/>
        <w:keepLines w:val="0"/>
        <w:spacing w:before="0" w:after="0" w:line="360" w:lineRule="auto"/>
        <w:ind w:firstLine="422" w:firstLineChars="200"/>
        <w:rPr>
          <w:rFonts w:ascii="宋体"/>
          <w:color w:val="auto"/>
          <w:sz w:val="21"/>
          <w:szCs w:val="21"/>
          <w:highlight w:val="none"/>
          <w:lang w:eastAsia="zh-CN"/>
        </w:rPr>
      </w:pPr>
      <w:bookmarkStart w:id="342" w:name="bookmark463"/>
      <w:bookmarkStart w:id="343" w:name="bookmark464"/>
      <w:bookmarkStart w:id="344" w:name="_Toc26750"/>
      <w:bookmarkStart w:id="345" w:name="_Toc79479627"/>
      <w:bookmarkStart w:id="346" w:name="_Toc828"/>
      <w:bookmarkStart w:id="347" w:name="bookmark462"/>
      <w:r>
        <w:rPr>
          <w:rFonts w:ascii="宋体" w:hAnsi="宋体" w:cs="宋体"/>
          <w:color w:val="auto"/>
          <w:sz w:val="21"/>
          <w:szCs w:val="21"/>
          <w:highlight w:val="none"/>
          <w:lang w:eastAsia="zh-CN"/>
        </w:rPr>
        <w:t xml:space="preserve">9.3 </w:t>
      </w:r>
      <w:r>
        <w:rPr>
          <w:rFonts w:hint="eastAsia" w:ascii="宋体" w:hAnsi="宋体" w:cs="宋体"/>
          <w:color w:val="auto"/>
          <w:sz w:val="21"/>
          <w:szCs w:val="21"/>
          <w:highlight w:val="none"/>
          <w:lang w:eastAsia="zh-CN"/>
        </w:rPr>
        <w:t>对评审小组成员的纪律要求</w:t>
      </w:r>
      <w:bookmarkEnd w:id="342"/>
      <w:bookmarkEnd w:id="343"/>
      <w:bookmarkEnd w:id="344"/>
      <w:bookmarkEnd w:id="345"/>
      <w:bookmarkEnd w:id="346"/>
      <w:bookmarkEnd w:id="347"/>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评审</w:t>
      </w:r>
      <w:r>
        <w:rPr>
          <w:rFonts w:hint="eastAsia"/>
          <w:color w:val="auto"/>
          <w:sz w:val="21"/>
          <w:szCs w:val="21"/>
          <w:highlight w:val="none"/>
        </w:rPr>
        <w:t>小组成员不得收受他人的财物或者其他好处，不得向他人透露对响应文件的评审和比较、候选成交供应商的推荐情况以及评审有关的其他情况。在</w:t>
      </w:r>
      <w:r>
        <w:rPr>
          <w:rFonts w:hint="eastAsia"/>
          <w:color w:val="auto"/>
          <w:sz w:val="21"/>
          <w:szCs w:val="21"/>
          <w:highlight w:val="none"/>
          <w:lang w:eastAsia="zh-CN"/>
        </w:rPr>
        <w:t>评审</w:t>
      </w:r>
      <w:r>
        <w:rPr>
          <w:rFonts w:hint="eastAsia"/>
          <w:color w:val="auto"/>
          <w:sz w:val="21"/>
          <w:szCs w:val="21"/>
          <w:highlight w:val="none"/>
        </w:rPr>
        <w:t>活动中</w:t>
      </w:r>
      <w:r>
        <w:rPr>
          <w:color w:val="auto"/>
          <w:sz w:val="21"/>
          <w:szCs w:val="21"/>
          <w:highlight w:val="none"/>
        </w:rPr>
        <w:t>,</w:t>
      </w:r>
      <w:r>
        <w:rPr>
          <w:rFonts w:hint="eastAsia"/>
          <w:color w:val="auto"/>
          <w:sz w:val="21"/>
          <w:szCs w:val="21"/>
          <w:highlight w:val="none"/>
          <w:lang w:eastAsia="zh-CN"/>
        </w:rPr>
        <w:t>评审</w:t>
      </w:r>
      <w:r>
        <w:rPr>
          <w:rFonts w:hint="eastAsia"/>
          <w:color w:val="auto"/>
          <w:sz w:val="21"/>
          <w:szCs w:val="21"/>
          <w:highlight w:val="none"/>
        </w:rPr>
        <w:t>小组成员应当客观、公正地履行职责，遵守职业道德，不得擅离职守、影响谈</w:t>
      </w:r>
      <w:r>
        <w:rPr>
          <w:rFonts w:hint="eastAsia"/>
          <w:color w:val="auto"/>
          <w:sz w:val="21"/>
          <w:szCs w:val="21"/>
          <w:highlight w:val="none"/>
          <w:lang w:eastAsia="zh-CN"/>
        </w:rPr>
        <w:t>评审</w:t>
      </w:r>
      <w:r>
        <w:rPr>
          <w:rFonts w:hint="eastAsia"/>
          <w:color w:val="auto"/>
          <w:sz w:val="21"/>
          <w:szCs w:val="21"/>
          <w:highlight w:val="none"/>
        </w:rPr>
        <w:t>工作正常进行，不得使用第三章</w:t>
      </w:r>
      <w:r>
        <w:rPr>
          <w:rFonts w:hint="eastAsia"/>
          <w:color w:val="auto"/>
          <w:sz w:val="21"/>
          <w:szCs w:val="21"/>
          <w:highlight w:val="none"/>
          <w:lang w:val="zh-CN" w:eastAsia="zh-CN"/>
        </w:rPr>
        <w:t>“评审</w:t>
      </w:r>
      <w:r>
        <w:rPr>
          <w:rFonts w:hint="eastAsia"/>
          <w:color w:val="auto"/>
          <w:sz w:val="21"/>
          <w:szCs w:val="21"/>
          <w:highlight w:val="none"/>
        </w:rPr>
        <w:t>办法”没有规定的评审因素和标准进行评审。</w:t>
      </w:r>
    </w:p>
    <w:p>
      <w:pPr>
        <w:pStyle w:val="5"/>
        <w:keepLines w:val="0"/>
        <w:spacing w:before="0" w:after="0" w:line="360" w:lineRule="auto"/>
        <w:ind w:firstLine="422" w:firstLineChars="200"/>
        <w:rPr>
          <w:rFonts w:ascii="宋体"/>
          <w:color w:val="auto"/>
          <w:sz w:val="21"/>
          <w:szCs w:val="21"/>
          <w:highlight w:val="none"/>
          <w:lang w:eastAsia="zh-CN"/>
        </w:rPr>
      </w:pPr>
      <w:bookmarkStart w:id="348" w:name="bookmark465"/>
      <w:bookmarkStart w:id="349" w:name="_Toc6133"/>
      <w:bookmarkStart w:id="350" w:name="bookmark466"/>
      <w:bookmarkStart w:id="351" w:name="_Toc5893"/>
      <w:bookmarkStart w:id="352" w:name="bookmark467"/>
      <w:bookmarkStart w:id="353" w:name="_Toc79479628"/>
      <w:r>
        <w:rPr>
          <w:rFonts w:ascii="宋体" w:hAnsi="宋体" w:cs="宋体"/>
          <w:color w:val="auto"/>
          <w:sz w:val="21"/>
          <w:szCs w:val="21"/>
          <w:highlight w:val="none"/>
          <w:lang w:eastAsia="zh-CN"/>
        </w:rPr>
        <w:t xml:space="preserve">9.4 </w:t>
      </w:r>
      <w:r>
        <w:rPr>
          <w:rFonts w:hint="eastAsia" w:ascii="宋体" w:hAnsi="宋体" w:cs="宋体"/>
          <w:color w:val="auto"/>
          <w:sz w:val="21"/>
          <w:szCs w:val="21"/>
          <w:highlight w:val="none"/>
          <w:lang w:eastAsia="zh-CN"/>
        </w:rPr>
        <w:t>对与询比活动有关的工作人员的纪律要求</w:t>
      </w:r>
      <w:bookmarkEnd w:id="348"/>
      <w:bookmarkEnd w:id="349"/>
      <w:bookmarkEnd w:id="350"/>
      <w:bookmarkEnd w:id="351"/>
      <w:bookmarkEnd w:id="352"/>
      <w:bookmarkEnd w:id="353"/>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与</w:t>
      </w:r>
      <w:r>
        <w:rPr>
          <w:rFonts w:hint="eastAsia"/>
          <w:color w:val="auto"/>
          <w:sz w:val="21"/>
          <w:szCs w:val="21"/>
          <w:highlight w:val="none"/>
          <w:lang w:val="en-US" w:eastAsia="zh-CN"/>
        </w:rPr>
        <w:t>询比</w:t>
      </w:r>
      <w:r>
        <w:rPr>
          <w:rFonts w:hint="eastAsia"/>
          <w:color w:val="auto"/>
          <w:sz w:val="21"/>
          <w:szCs w:val="21"/>
          <w:highlight w:val="none"/>
        </w:rPr>
        <w:t>活动有关的工作人员不得收受他人的财物或者其他好处，不得向他人透露对响应文件的评审和比较、候选成交供应商的推荐情况以及</w:t>
      </w:r>
      <w:r>
        <w:rPr>
          <w:rFonts w:hint="eastAsia"/>
          <w:color w:val="auto"/>
          <w:sz w:val="21"/>
          <w:szCs w:val="21"/>
          <w:highlight w:val="none"/>
          <w:lang w:eastAsia="zh-CN"/>
        </w:rPr>
        <w:t>询比</w:t>
      </w:r>
      <w:r>
        <w:rPr>
          <w:rFonts w:hint="eastAsia"/>
          <w:color w:val="auto"/>
          <w:sz w:val="21"/>
          <w:szCs w:val="21"/>
          <w:highlight w:val="none"/>
        </w:rPr>
        <w:t>有关的其他情况。在</w:t>
      </w:r>
      <w:r>
        <w:rPr>
          <w:rFonts w:hint="eastAsia"/>
          <w:color w:val="auto"/>
          <w:sz w:val="21"/>
          <w:szCs w:val="21"/>
          <w:highlight w:val="none"/>
          <w:lang w:eastAsia="zh-CN"/>
        </w:rPr>
        <w:t>询比</w:t>
      </w:r>
      <w:r>
        <w:rPr>
          <w:rFonts w:hint="eastAsia"/>
          <w:color w:val="auto"/>
          <w:sz w:val="21"/>
          <w:szCs w:val="21"/>
          <w:highlight w:val="none"/>
        </w:rPr>
        <w:t>活动中，与</w:t>
      </w:r>
      <w:r>
        <w:rPr>
          <w:rFonts w:hint="eastAsia"/>
          <w:color w:val="auto"/>
          <w:sz w:val="21"/>
          <w:szCs w:val="21"/>
          <w:highlight w:val="none"/>
          <w:lang w:eastAsia="zh-CN"/>
        </w:rPr>
        <w:t>询比</w:t>
      </w:r>
      <w:r>
        <w:rPr>
          <w:rFonts w:hint="eastAsia"/>
          <w:color w:val="auto"/>
          <w:sz w:val="21"/>
          <w:szCs w:val="21"/>
          <w:highlight w:val="none"/>
        </w:rPr>
        <w:t>活动有关的工作人员不得擅离职守，影响</w:t>
      </w:r>
      <w:r>
        <w:rPr>
          <w:rFonts w:hint="eastAsia"/>
          <w:color w:val="auto"/>
          <w:sz w:val="21"/>
          <w:szCs w:val="21"/>
          <w:highlight w:val="none"/>
          <w:lang w:eastAsia="zh-CN"/>
        </w:rPr>
        <w:t>评审</w:t>
      </w:r>
      <w:r>
        <w:rPr>
          <w:rFonts w:hint="eastAsia"/>
          <w:color w:val="auto"/>
          <w:sz w:val="21"/>
          <w:szCs w:val="21"/>
          <w:highlight w:val="none"/>
        </w:rPr>
        <w:t>工作正常进行。</w:t>
      </w:r>
    </w:p>
    <w:p>
      <w:pPr>
        <w:pStyle w:val="4"/>
        <w:keepLines w:val="0"/>
        <w:spacing w:before="0" w:after="0" w:line="360" w:lineRule="auto"/>
        <w:ind w:firstLine="422" w:firstLineChars="200"/>
        <w:rPr>
          <w:rFonts w:ascii="宋体"/>
          <w:color w:val="auto"/>
          <w:sz w:val="21"/>
          <w:szCs w:val="21"/>
          <w:highlight w:val="none"/>
          <w:lang w:eastAsia="zh-CN"/>
        </w:rPr>
      </w:pPr>
      <w:bookmarkStart w:id="354" w:name="_Toc17724"/>
      <w:bookmarkStart w:id="355" w:name="bookmark470"/>
      <w:bookmarkStart w:id="356" w:name="_Toc79479629"/>
      <w:bookmarkStart w:id="357" w:name="bookmark468"/>
      <w:bookmarkStart w:id="358" w:name="_Toc30219"/>
      <w:bookmarkStart w:id="359" w:name="bookmark469"/>
      <w:r>
        <w:rPr>
          <w:rFonts w:ascii="宋体" w:hAnsi="宋体" w:cs="宋体"/>
          <w:color w:val="auto"/>
          <w:sz w:val="21"/>
          <w:szCs w:val="21"/>
          <w:highlight w:val="none"/>
          <w:lang w:eastAsia="zh-CN"/>
        </w:rPr>
        <w:t xml:space="preserve">10 </w:t>
      </w:r>
      <w:r>
        <w:rPr>
          <w:rFonts w:hint="eastAsia" w:ascii="宋体" w:hAnsi="宋体" w:cs="宋体"/>
          <w:color w:val="auto"/>
          <w:sz w:val="21"/>
          <w:szCs w:val="21"/>
          <w:highlight w:val="none"/>
          <w:lang w:eastAsia="zh-CN"/>
        </w:rPr>
        <w:t>需要补充的其他内容</w:t>
      </w:r>
      <w:bookmarkEnd w:id="354"/>
      <w:bookmarkEnd w:id="355"/>
      <w:bookmarkEnd w:id="356"/>
      <w:bookmarkEnd w:id="357"/>
      <w:bookmarkEnd w:id="358"/>
      <w:bookmarkEnd w:id="359"/>
    </w:p>
    <w:p>
      <w:pPr>
        <w:pStyle w:val="5"/>
        <w:keepLines w:val="0"/>
        <w:spacing w:before="0" w:after="0" w:line="360" w:lineRule="auto"/>
        <w:ind w:firstLine="422" w:firstLineChars="200"/>
        <w:rPr>
          <w:rFonts w:ascii="宋体"/>
          <w:color w:val="auto"/>
          <w:sz w:val="21"/>
          <w:szCs w:val="21"/>
          <w:highlight w:val="none"/>
          <w:lang w:eastAsia="zh-CN"/>
        </w:rPr>
      </w:pPr>
      <w:bookmarkStart w:id="360" w:name="bookmark473"/>
      <w:bookmarkStart w:id="361" w:name="bookmark472"/>
      <w:bookmarkStart w:id="362" w:name="_Toc79479630"/>
      <w:bookmarkStart w:id="363" w:name="_Toc29264"/>
      <w:bookmarkStart w:id="364" w:name="bookmark471"/>
      <w:bookmarkStart w:id="365" w:name="_Toc29647"/>
      <w:r>
        <w:rPr>
          <w:rFonts w:ascii="宋体" w:hAnsi="宋体" w:cs="宋体"/>
          <w:color w:val="auto"/>
          <w:sz w:val="21"/>
          <w:szCs w:val="21"/>
          <w:highlight w:val="none"/>
          <w:lang w:eastAsia="zh-CN"/>
        </w:rPr>
        <w:t xml:space="preserve">10.1 </w:t>
      </w:r>
      <w:r>
        <w:rPr>
          <w:rFonts w:hint="eastAsia" w:ascii="宋体" w:hAnsi="宋体" w:cs="宋体"/>
          <w:color w:val="auto"/>
          <w:sz w:val="21"/>
          <w:szCs w:val="21"/>
          <w:highlight w:val="none"/>
          <w:lang w:eastAsia="zh-CN"/>
        </w:rPr>
        <w:t>采购代理服务费</w:t>
      </w:r>
      <w:bookmarkEnd w:id="360"/>
      <w:bookmarkEnd w:id="361"/>
      <w:bookmarkEnd w:id="362"/>
      <w:bookmarkEnd w:id="363"/>
      <w:bookmarkEnd w:id="364"/>
      <w:bookmarkEnd w:id="365"/>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供应商须知前附表规定由供应商承担采购代理服务费的，供应商应按照供应商须知前附表规定的费用标准或金额、交费时间和方式向釆购代理机构支付代理服务费。</w:t>
      </w:r>
    </w:p>
    <w:p>
      <w:pPr>
        <w:pStyle w:val="5"/>
        <w:keepLines w:val="0"/>
        <w:spacing w:before="0" w:after="0" w:line="360" w:lineRule="auto"/>
        <w:ind w:firstLine="422" w:firstLineChars="200"/>
        <w:rPr>
          <w:rFonts w:ascii="宋体"/>
          <w:color w:val="auto"/>
          <w:sz w:val="21"/>
          <w:szCs w:val="21"/>
          <w:highlight w:val="none"/>
          <w:lang w:eastAsia="zh-CN"/>
        </w:rPr>
      </w:pPr>
      <w:bookmarkStart w:id="366" w:name="_Toc79479631"/>
      <w:bookmarkStart w:id="367" w:name="_Toc9881"/>
      <w:bookmarkStart w:id="368" w:name="_Toc23072"/>
      <w:r>
        <w:rPr>
          <w:rFonts w:ascii="宋体" w:hAnsi="宋体" w:cs="宋体"/>
          <w:color w:val="auto"/>
          <w:sz w:val="21"/>
          <w:szCs w:val="21"/>
          <w:highlight w:val="none"/>
          <w:lang w:eastAsia="zh-CN"/>
        </w:rPr>
        <w:t xml:space="preserve">10.2 </w:t>
      </w:r>
      <w:r>
        <w:rPr>
          <w:rFonts w:hint="eastAsia" w:ascii="宋体" w:hAnsi="宋体" w:cs="宋体"/>
          <w:color w:val="auto"/>
          <w:sz w:val="21"/>
          <w:szCs w:val="21"/>
          <w:highlight w:val="none"/>
          <w:lang w:val="zh-TW" w:eastAsia="zh-TW"/>
        </w:rPr>
        <w:t>其他</w:t>
      </w:r>
      <w:bookmarkEnd w:id="366"/>
      <w:bookmarkEnd w:id="367"/>
      <w:bookmarkEnd w:id="368"/>
    </w:p>
    <w:p>
      <w:pPr>
        <w:pStyle w:val="46"/>
        <w:keepNext/>
        <w:spacing w:line="360" w:lineRule="auto"/>
        <w:ind w:firstLine="420" w:firstLineChars="200"/>
        <w:rPr>
          <w:rFonts w:cs="Times New Roman"/>
          <w:color w:val="auto"/>
          <w:sz w:val="52"/>
          <w:szCs w:val="52"/>
          <w:highlight w:val="none"/>
          <w:lang w:val="en-US" w:eastAsia="zh-CN"/>
        </w:rPr>
      </w:pPr>
      <w:r>
        <w:rPr>
          <w:rFonts w:hint="eastAsia"/>
          <w:color w:val="auto"/>
          <w:sz w:val="21"/>
          <w:szCs w:val="21"/>
          <w:highlight w:val="none"/>
        </w:rPr>
        <w:t>需要补充的其他内容：见供应商须知前附表。</w:t>
      </w: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3"/>
        <w:keepLines w:val="0"/>
        <w:jc w:val="center"/>
        <w:rPr>
          <w:rFonts w:ascii="宋体"/>
          <w:color w:val="auto"/>
          <w:sz w:val="52"/>
          <w:szCs w:val="52"/>
          <w:highlight w:val="none"/>
          <w:lang w:eastAsia="zh-CN"/>
        </w:rPr>
      </w:pPr>
      <w:bookmarkStart w:id="369" w:name="_Toc16982"/>
      <w:bookmarkStart w:id="370" w:name="_Toc79479632"/>
    </w:p>
    <w:p>
      <w:pPr>
        <w:pStyle w:val="3"/>
        <w:keepLines w:val="0"/>
        <w:jc w:val="center"/>
        <w:rPr>
          <w:rFonts w:ascii="宋体"/>
          <w:color w:val="auto"/>
          <w:sz w:val="52"/>
          <w:szCs w:val="52"/>
          <w:highlight w:val="none"/>
          <w:lang w:eastAsia="zh-CN"/>
        </w:rPr>
      </w:pPr>
    </w:p>
    <w:p>
      <w:pPr>
        <w:pStyle w:val="3"/>
        <w:keepLines w:val="0"/>
        <w:jc w:val="center"/>
        <w:rPr>
          <w:rFonts w:ascii="宋体"/>
          <w:color w:val="auto"/>
          <w:sz w:val="52"/>
          <w:szCs w:val="52"/>
          <w:highlight w:val="none"/>
          <w:lang w:eastAsia="zh-CN"/>
        </w:rPr>
      </w:pPr>
      <w:r>
        <w:rPr>
          <w:rFonts w:hint="eastAsia" w:ascii="宋体" w:hAnsi="宋体" w:cs="宋体"/>
          <w:color w:val="auto"/>
          <w:sz w:val="52"/>
          <w:szCs w:val="52"/>
          <w:highlight w:val="none"/>
          <w:lang w:eastAsia="zh-CN"/>
        </w:rPr>
        <w:t>第三章评审办法</w:t>
      </w:r>
      <w:bookmarkEnd w:id="369"/>
      <w:bookmarkEnd w:id="370"/>
    </w:p>
    <w:p>
      <w:pPr>
        <w:pStyle w:val="46"/>
        <w:keepNext/>
        <w:tabs>
          <w:tab w:val="left" w:pos="950"/>
          <w:tab w:val="left" w:pos="2150"/>
          <w:tab w:val="left" w:pos="3350"/>
        </w:tabs>
        <w:spacing w:line="360" w:lineRule="auto"/>
        <w:ind w:firstLine="0"/>
        <w:rPr>
          <w:rFonts w:cs="Times New Roman"/>
          <w:color w:val="auto"/>
          <w:sz w:val="24"/>
          <w:szCs w:val="24"/>
          <w:highlight w:val="none"/>
          <w:lang w:val="en-US" w:eastAsia="zh-CN"/>
        </w:rPr>
      </w:pPr>
    </w:p>
    <w:p>
      <w:pPr>
        <w:keepNext/>
        <w:rPr>
          <w:rFonts w:ascii="宋体"/>
          <w:color w:val="auto"/>
          <w:highlight w:val="none"/>
          <w:lang w:eastAsia="zh-CN"/>
        </w:rPr>
      </w:pPr>
      <w:r>
        <w:rPr>
          <w:rFonts w:ascii="宋体"/>
          <w:color w:val="auto"/>
          <w:highlight w:val="none"/>
          <w:lang w:eastAsia="zh-CN"/>
        </w:rPr>
        <w:br w:type="page"/>
      </w:r>
    </w:p>
    <w:p>
      <w:pPr>
        <w:pStyle w:val="4"/>
        <w:keepLines w:val="0"/>
        <w:jc w:val="center"/>
        <w:rPr>
          <w:rFonts w:ascii="宋体"/>
          <w:color w:val="auto"/>
          <w:sz w:val="21"/>
          <w:szCs w:val="21"/>
          <w:highlight w:val="none"/>
          <w:lang w:eastAsia="zh-CN"/>
        </w:rPr>
      </w:pPr>
      <w:bookmarkStart w:id="371" w:name="_Toc27211"/>
      <w:bookmarkStart w:id="372" w:name="bookmark491"/>
      <w:bookmarkStart w:id="373" w:name="bookmark490"/>
      <w:bookmarkStart w:id="374" w:name="bookmark489"/>
      <w:bookmarkStart w:id="375" w:name="_Toc22498"/>
      <w:bookmarkStart w:id="376" w:name="_Toc79479633"/>
      <w:r>
        <w:rPr>
          <w:rFonts w:hint="eastAsia" w:ascii="宋体" w:hAnsi="宋体" w:cs="宋体"/>
          <w:color w:val="auto"/>
          <w:sz w:val="21"/>
          <w:szCs w:val="21"/>
          <w:highlight w:val="none"/>
          <w:lang w:eastAsia="zh-CN"/>
        </w:rPr>
        <w:t>评审办法前附表</w:t>
      </w:r>
      <w:bookmarkEnd w:id="371"/>
      <w:bookmarkEnd w:id="372"/>
      <w:bookmarkEnd w:id="373"/>
      <w:bookmarkEnd w:id="374"/>
      <w:bookmarkEnd w:id="375"/>
      <w:bookmarkEnd w:id="376"/>
    </w:p>
    <w:tbl>
      <w:tblPr>
        <w:tblStyle w:val="26"/>
        <w:tblW w:w="91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77"/>
        <w:gridCol w:w="1457"/>
        <w:gridCol w:w="49"/>
        <w:gridCol w:w="1117"/>
        <w:gridCol w:w="1678"/>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492" w:type="dxa"/>
            <w:gridSpan w:val="4"/>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条款号及名称</w:t>
            </w: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评审因素</w:t>
            </w:r>
          </w:p>
        </w:tc>
        <w:tc>
          <w:tcPr>
            <w:tcW w:w="3863"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9"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1</w:t>
            </w:r>
          </w:p>
        </w:tc>
        <w:tc>
          <w:tcPr>
            <w:tcW w:w="1583" w:type="dxa"/>
            <w:gridSpan w:val="3"/>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评审方法</w:t>
            </w: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评审方法</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9" w:type="dxa"/>
            <w:vMerge w:val="restart"/>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2.1.1</w:t>
            </w:r>
          </w:p>
        </w:tc>
        <w:tc>
          <w:tcPr>
            <w:tcW w:w="1583" w:type="dxa"/>
            <w:gridSpan w:val="3"/>
            <w:vMerge w:val="restart"/>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形式评审标准</w:t>
            </w: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供应商名称</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9" w:type="dxa"/>
            <w:vMerge w:val="continue"/>
            <w:vAlign w:val="center"/>
          </w:tcPr>
          <w:p>
            <w:pPr>
              <w:keepNext/>
              <w:jc w:val="center"/>
              <w:rPr>
                <w:rFonts w:ascii="宋体"/>
                <w:color w:val="auto"/>
                <w:sz w:val="21"/>
                <w:szCs w:val="21"/>
                <w:highlight w:val="none"/>
                <w:lang w:eastAsia="zh-CN"/>
              </w:rPr>
            </w:pPr>
          </w:p>
        </w:tc>
        <w:tc>
          <w:tcPr>
            <w:tcW w:w="1583" w:type="dxa"/>
            <w:gridSpan w:val="3"/>
            <w:vMerge w:val="continue"/>
            <w:vAlign w:val="center"/>
          </w:tcPr>
          <w:p>
            <w:pPr>
              <w:keepNext/>
              <w:jc w:val="center"/>
              <w:rPr>
                <w:rFonts w:ascii="宋体"/>
                <w:color w:val="auto"/>
                <w:sz w:val="21"/>
                <w:szCs w:val="21"/>
                <w:highlight w:val="none"/>
                <w:lang w:eastAsia="zh-CN"/>
              </w:rPr>
            </w:pP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响应文件签字盖章</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符合第二章</w:t>
            </w:r>
            <w:r>
              <w:rPr>
                <w:rFonts w:ascii="宋体" w:hAnsi="宋体" w:cs="宋体"/>
                <w:color w:val="auto"/>
                <w:sz w:val="21"/>
                <w:szCs w:val="21"/>
                <w:highlight w:val="none"/>
                <w:lang w:eastAsia="zh-CN"/>
              </w:rPr>
              <w:t>3.7.2</w:t>
            </w:r>
            <w:r>
              <w:rPr>
                <w:rFonts w:hint="eastAsia" w:ascii="宋体" w:hAnsi="宋体" w:cs="宋体"/>
                <w:color w:val="auto"/>
                <w:sz w:val="21"/>
                <w:szCs w:val="21"/>
                <w:highlight w:val="none"/>
                <w:lang w:eastAsia="zh-CN"/>
              </w:rPr>
              <w:t>项及</w:t>
            </w:r>
            <w:r>
              <w:rPr>
                <w:rFonts w:ascii="宋体" w:hAnsi="宋体" w:cs="宋体"/>
                <w:color w:val="auto"/>
                <w:sz w:val="21"/>
                <w:szCs w:val="21"/>
                <w:highlight w:val="none"/>
                <w:lang w:eastAsia="zh-CN"/>
              </w:rPr>
              <w:t>3.7.3</w:t>
            </w:r>
            <w:r>
              <w:rPr>
                <w:rFonts w:hint="eastAsia" w:ascii="宋体" w:hAnsi="宋体" w:cs="宋体"/>
                <w:color w:val="auto"/>
                <w:sz w:val="21"/>
                <w:szCs w:val="21"/>
                <w:highlight w:val="none"/>
                <w:lang w:eastAsia="zh-CN"/>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9" w:type="dxa"/>
            <w:vMerge w:val="continue"/>
            <w:vAlign w:val="center"/>
          </w:tcPr>
          <w:p>
            <w:pPr>
              <w:keepNext/>
              <w:jc w:val="center"/>
              <w:rPr>
                <w:rFonts w:ascii="宋体"/>
                <w:color w:val="auto"/>
                <w:sz w:val="21"/>
                <w:szCs w:val="21"/>
                <w:highlight w:val="none"/>
                <w:lang w:eastAsia="zh-CN"/>
              </w:rPr>
            </w:pPr>
          </w:p>
        </w:tc>
        <w:tc>
          <w:tcPr>
            <w:tcW w:w="1583" w:type="dxa"/>
            <w:gridSpan w:val="3"/>
            <w:vMerge w:val="continue"/>
            <w:vAlign w:val="center"/>
          </w:tcPr>
          <w:p>
            <w:pPr>
              <w:keepNext/>
              <w:jc w:val="center"/>
              <w:rPr>
                <w:rFonts w:ascii="宋体"/>
                <w:color w:val="auto"/>
                <w:sz w:val="21"/>
                <w:szCs w:val="21"/>
                <w:highlight w:val="none"/>
                <w:lang w:eastAsia="zh-CN"/>
              </w:rPr>
            </w:pPr>
          </w:p>
        </w:tc>
        <w:tc>
          <w:tcPr>
            <w:tcW w:w="2795" w:type="dxa"/>
            <w:gridSpan w:val="2"/>
            <w:vAlign w:val="center"/>
          </w:tcPr>
          <w:p>
            <w:pPr>
              <w:keepNext/>
              <w:widowControl/>
              <w:spacing w:line="420" w:lineRule="exact"/>
              <w:jc w:val="center"/>
              <w:rPr>
                <w:rFonts w:ascii="宋体"/>
                <w:color w:val="auto"/>
                <w:sz w:val="21"/>
                <w:szCs w:val="21"/>
                <w:highlight w:val="none"/>
              </w:rPr>
            </w:pPr>
            <w:r>
              <w:rPr>
                <w:rFonts w:hint="eastAsia" w:ascii="宋体" w:hAnsi="宋体" w:cs="宋体"/>
                <w:color w:val="auto"/>
                <w:sz w:val="21"/>
                <w:szCs w:val="21"/>
                <w:highlight w:val="none"/>
              </w:rPr>
              <w:t>响应文件格式</w:t>
            </w:r>
          </w:p>
        </w:tc>
        <w:tc>
          <w:tcPr>
            <w:tcW w:w="3863" w:type="dxa"/>
            <w:vAlign w:val="center"/>
          </w:tcPr>
          <w:p>
            <w:pPr>
              <w:keepNext/>
              <w:widowControl/>
              <w:spacing w:line="420" w:lineRule="exac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09" w:type="dxa"/>
            <w:vMerge w:val="continue"/>
            <w:vAlign w:val="center"/>
          </w:tcPr>
          <w:p>
            <w:pPr>
              <w:keepNext/>
              <w:jc w:val="center"/>
              <w:rPr>
                <w:rFonts w:ascii="宋体"/>
                <w:color w:val="auto"/>
                <w:sz w:val="21"/>
                <w:szCs w:val="21"/>
                <w:highlight w:val="none"/>
                <w:lang w:eastAsia="zh-CN"/>
              </w:rPr>
            </w:pPr>
          </w:p>
        </w:tc>
        <w:tc>
          <w:tcPr>
            <w:tcW w:w="1583" w:type="dxa"/>
            <w:gridSpan w:val="3"/>
            <w:vMerge w:val="continue"/>
            <w:vAlign w:val="center"/>
          </w:tcPr>
          <w:p>
            <w:pPr>
              <w:keepNext/>
              <w:jc w:val="center"/>
              <w:rPr>
                <w:rFonts w:ascii="宋体"/>
                <w:color w:val="auto"/>
                <w:sz w:val="21"/>
                <w:szCs w:val="21"/>
                <w:highlight w:val="none"/>
                <w:lang w:eastAsia="zh-CN"/>
              </w:rPr>
            </w:pPr>
          </w:p>
        </w:tc>
        <w:tc>
          <w:tcPr>
            <w:tcW w:w="2795" w:type="dxa"/>
            <w:gridSpan w:val="2"/>
            <w:vAlign w:val="center"/>
          </w:tcPr>
          <w:p>
            <w:pPr>
              <w:keepNext/>
              <w:widowControl/>
              <w:spacing w:line="420" w:lineRule="exact"/>
              <w:jc w:val="center"/>
              <w:rPr>
                <w:rFonts w:ascii="宋体"/>
                <w:color w:val="auto"/>
                <w:sz w:val="21"/>
                <w:szCs w:val="21"/>
                <w:highlight w:val="none"/>
              </w:rPr>
            </w:pPr>
            <w:r>
              <w:rPr>
                <w:rFonts w:hint="eastAsia" w:ascii="宋体" w:hAnsi="宋体" w:cs="宋体"/>
                <w:color w:val="auto"/>
                <w:sz w:val="21"/>
                <w:szCs w:val="21"/>
                <w:highlight w:val="none"/>
              </w:rPr>
              <w:t>报价唯一</w:t>
            </w:r>
          </w:p>
        </w:tc>
        <w:tc>
          <w:tcPr>
            <w:tcW w:w="3863" w:type="dxa"/>
            <w:vAlign w:val="center"/>
          </w:tcPr>
          <w:p>
            <w:pPr>
              <w:keepNext/>
              <w:widowControl/>
              <w:spacing w:line="420" w:lineRule="exact"/>
              <w:jc w:val="both"/>
              <w:rPr>
                <w:rFonts w:ascii="宋体"/>
                <w:color w:val="auto"/>
                <w:sz w:val="21"/>
                <w:szCs w:val="21"/>
                <w:highlight w:val="none"/>
              </w:rPr>
            </w:pPr>
            <w:r>
              <w:rPr>
                <w:rFonts w:hint="eastAsia" w:ascii="宋体" w:hAnsi="宋体" w:cs="宋体"/>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09" w:type="dxa"/>
            <w:vMerge w:val="restart"/>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2.1.2</w:t>
            </w:r>
          </w:p>
        </w:tc>
        <w:tc>
          <w:tcPr>
            <w:tcW w:w="1583" w:type="dxa"/>
            <w:gridSpan w:val="3"/>
            <w:vMerge w:val="restart"/>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资格评审标准</w:t>
            </w:r>
          </w:p>
        </w:tc>
        <w:tc>
          <w:tcPr>
            <w:tcW w:w="2795" w:type="dxa"/>
            <w:gridSpan w:val="2"/>
            <w:vAlign w:val="center"/>
          </w:tcPr>
          <w:p>
            <w:pPr>
              <w:keepNext/>
              <w:jc w:val="center"/>
              <w:rPr>
                <w:rFonts w:ascii="宋体"/>
                <w:color w:val="auto"/>
                <w:sz w:val="21"/>
                <w:szCs w:val="21"/>
                <w:highlight w:val="none"/>
              </w:rPr>
            </w:pPr>
            <w:r>
              <w:rPr>
                <w:rFonts w:hint="eastAsia" w:ascii="宋体" w:hAnsi="宋体" w:cs="宋体"/>
                <w:color w:val="auto"/>
                <w:sz w:val="21"/>
                <w:szCs w:val="21"/>
                <w:highlight w:val="none"/>
              </w:rPr>
              <w:t>营业执照</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有效且符合询比文件要求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09" w:type="dxa"/>
            <w:vMerge w:val="continue"/>
            <w:vAlign w:val="center"/>
          </w:tcPr>
          <w:p>
            <w:pPr>
              <w:keepNext/>
              <w:jc w:val="center"/>
              <w:rPr>
                <w:rFonts w:ascii="宋体"/>
                <w:color w:val="auto"/>
                <w:sz w:val="21"/>
                <w:szCs w:val="21"/>
                <w:highlight w:val="none"/>
                <w:lang w:eastAsia="zh-CN"/>
              </w:rPr>
            </w:pPr>
          </w:p>
        </w:tc>
        <w:tc>
          <w:tcPr>
            <w:tcW w:w="1583" w:type="dxa"/>
            <w:gridSpan w:val="3"/>
            <w:vMerge w:val="continue"/>
            <w:vAlign w:val="center"/>
          </w:tcPr>
          <w:p>
            <w:pPr>
              <w:keepNext/>
              <w:jc w:val="center"/>
              <w:rPr>
                <w:rFonts w:ascii="宋体"/>
                <w:color w:val="auto"/>
                <w:sz w:val="21"/>
                <w:szCs w:val="21"/>
                <w:highlight w:val="none"/>
                <w:lang w:eastAsia="zh-CN"/>
              </w:rPr>
            </w:pP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资质要求</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符合询比文件要求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9" w:type="dxa"/>
            <w:vMerge w:val="continue"/>
            <w:vAlign w:val="center"/>
          </w:tcPr>
          <w:p>
            <w:pPr>
              <w:keepNext/>
              <w:jc w:val="center"/>
              <w:rPr>
                <w:rFonts w:ascii="宋体"/>
                <w:color w:val="auto"/>
                <w:sz w:val="21"/>
                <w:szCs w:val="21"/>
                <w:highlight w:val="none"/>
                <w:lang w:eastAsia="zh-CN"/>
              </w:rPr>
            </w:pPr>
          </w:p>
        </w:tc>
        <w:tc>
          <w:tcPr>
            <w:tcW w:w="1583" w:type="dxa"/>
            <w:gridSpan w:val="3"/>
            <w:vMerge w:val="continue"/>
            <w:vAlign w:val="center"/>
          </w:tcPr>
          <w:p>
            <w:pPr>
              <w:keepNext/>
              <w:jc w:val="center"/>
              <w:rPr>
                <w:rFonts w:ascii="宋体"/>
                <w:color w:val="auto"/>
                <w:sz w:val="21"/>
                <w:szCs w:val="21"/>
                <w:highlight w:val="none"/>
                <w:lang w:eastAsia="zh-CN"/>
              </w:rPr>
            </w:pP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业绩要求</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符合询比文件要求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09" w:type="dxa"/>
            <w:vMerge w:val="continue"/>
            <w:vAlign w:val="center"/>
          </w:tcPr>
          <w:p>
            <w:pPr>
              <w:keepNext/>
              <w:jc w:val="center"/>
              <w:rPr>
                <w:rFonts w:ascii="宋体"/>
                <w:color w:val="auto"/>
                <w:sz w:val="21"/>
                <w:szCs w:val="21"/>
                <w:highlight w:val="none"/>
                <w:lang w:eastAsia="zh-CN"/>
              </w:rPr>
            </w:pPr>
          </w:p>
        </w:tc>
        <w:tc>
          <w:tcPr>
            <w:tcW w:w="1583" w:type="dxa"/>
            <w:gridSpan w:val="3"/>
            <w:vMerge w:val="continue"/>
            <w:vAlign w:val="center"/>
          </w:tcPr>
          <w:p>
            <w:pPr>
              <w:keepNext/>
              <w:jc w:val="center"/>
              <w:rPr>
                <w:rFonts w:ascii="宋体"/>
                <w:color w:val="auto"/>
                <w:sz w:val="21"/>
                <w:szCs w:val="21"/>
                <w:highlight w:val="none"/>
                <w:lang w:eastAsia="zh-CN"/>
              </w:rPr>
            </w:pP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信誉要求</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符合询比文件要求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9" w:type="dxa"/>
            <w:vMerge w:val="continue"/>
            <w:vAlign w:val="center"/>
          </w:tcPr>
          <w:p>
            <w:pPr>
              <w:keepNext/>
              <w:jc w:val="center"/>
              <w:rPr>
                <w:rFonts w:ascii="宋体"/>
                <w:color w:val="auto"/>
                <w:sz w:val="21"/>
                <w:szCs w:val="21"/>
                <w:highlight w:val="none"/>
                <w:lang w:eastAsia="zh-CN"/>
              </w:rPr>
            </w:pPr>
          </w:p>
        </w:tc>
        <w:tc>
          <w:tcPr>
            <w:tcW w:w="1583" w:type="dxa"/>
            <w:gridSpan w:val="3"/>
            <w:vMerge w:val="continue"/>
            <w:vAlign w:val="center"/>
          </w:tcPr>
          <w:p>
            <w:pPr>
              <w:keepNext/>
              <w:jc w:val="center"/>
              <w:rPr>
                <w:rFonts w:ascii="宋体"/>
                <w:color w:val="auto"/>
                <w:sz w:val="21"/>
                <w:szCs w:val="21"/>
                <w:highlight w:val="none"/>
                <w:lang w:eastAsia="zh-CN"/>
              </w:rPr>
            </w:pP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其他要求</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符合询比文件要求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9" w:type="dxa"/>
            <w:vMerge w:val="restart"/>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2.1.3</w:t>
            </w:r>
          </w:p>
        </w:tc>
        <w:tc>
          <w:tcPr>
            <w:tcW w:w="1583" w:type="dxa"/>
            <w:gridSpan w:val="3"/>
            <w:vMerge w:val="restart"/>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响应性评审标准</w:t>
            </w: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报价</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符合第二章第</w:t>
            </w:r>
            <w:r>
              <w:rPr>
                <w:rFonts w:ascii="宋体" w:hAnsi="宋体" w:cs="宋体"/>
                <w:color w:val="auto"/>
                <w:sz w:val="21"/>
                <w:szCs w:val="21"/>
                <w:highlight w:val="none"/>
                <w:lang w:eastAsia="zh-CN"/>
              </w:rPr>
              <w:t>3.2</w:t>
            </w:r>
            <w:r>
              <w:rPr>
                <w:rFonts w:hint="eastAsia" w:ascii="宋体" w:hAnsi="宋体" w:cs="宋体"/>
                <w:color w:val="auto"/>
                <w:sz w:val="21"/>
                <w:szCs w:val="21"/>
                <w:highlight w:val="none"/>
                <w:lang w:eastAsia="zh-CN"/>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09" w:type="dxa"/>
            <w:vMerge w:val="continue"/>
            <w:vAlign w:val="center"/>
          </w:tcPr>
          <w:p>
            <w:pPr>
              <w:keepNext/>
              <w:jc w:val="center"/>
              <w:rPr>
                <w:rFonts w:ascii="宋体"/>
                <w:color w:val="auto"/>
                <w:sz w:val="21"/>
                <w:szCs w:val="21"/>
                <w:highlight w:val="none"/>
                <w:lang w:eastAsia="zh-CN"/>
              </w:rPr>
            </w:pPr>
          </w:p>
        </w:tc>
        <w:tc>
          <w:tcPr>
            <w:tcW w:w="1583" w:type="dxa"/>
            <w:gridSpan w:val="3"/>
            <w:vMerge w:val="continue"/>
            <w:vAlign w:val="center"/>
          </w:tcPr>
          <w:p>
            <w:pPr>
              <w:keepNext/>
              <w:jc w:val="center"/>
              <w:rPr>
                <w:rFonts w:ascii="宋体"/>
                <w:color w:val="auto"/>
                <w:sz w:val="21"/>
                <w:szCs w:val="21"/>
                <w:highlight w:val="none"/>
                <w:lang w:eastAsia="zh-CN"/>
              </w:rPr>
            </w:pP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响应文件有效期</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符合第二章第</w:t>
            </w:r>
            <w:r>
              <w:rPr>
                <w:rFonts w:ascii="宋体" w:hAnsi="宋体" w:cs="宋体"/>
                <w:color w:val="auto"/>
                <w:sz w:val="21"/>
                <w:szCs w:val="21"/>
                <w:highlight w:val="none"/>
                <w:lang w:eastAsia="zh-CN"/>
              </w:rPr>
              <w:t>3.3.1</w:t>
            </w:r>
            <w:r>
              <w:rPr>
                <w:rFonts w:hint="eastAsia" w:ascii="宋体" w:hAnsi="宋体" w:cs="宋体"/>
                <w:color w:val="auto"/>
                <w:sz w:val="21"/>
                <w:szCs w:val="21"/>
                <w:highlight w:val="none"/>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9" w:type="dxa"/>
            <w:vMerge w:val="continue"/>
            <w:vAlign w:val="center"/>
          </w:tcPr>
          <w:p>
            <w:pPr>
              <w:keepNext/>
              <w:jc w:val="center"/>
              <w:rPr>
                <w:rFonts w:ascii="宋体"/>
                <w:color w:val="auto"/>
                <w:sz w:val="21"/>
                <w:szCs w:val="21"/>
                <w:highlight w:val="none"/>
                <w:lang w:eastAsia="zh-CN"/>
              </w:rPr>
            </w:pPr>
          </w:p>
        </w:tc>
        <w:tc>
          <w:tcPr>
            <w:tcW w:w="1583" w:type="dxa"/>
            <w:gridSpan w:val="3"/>
            <w:vMerge w:val="continue"/>
            <w:vAlign w:val="center"/>
          </w:tcPr>
          <w:p>
            <w:pPr>
              <w:keepNext/>
              <w:jc w:val="center"/>
              <w:rPr>
                <w:rFonts w:ascii="宋体"/>
                <w:color w:val="auto"/>
                <w:sz w:val="21"/>
                <w:szCs w:val="21"/>
                <w:highlight w:val="none"/>
                <w:lang w:eastAsia="zh-CN"/>
              </w:rPr>
            </w:pP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响应方案</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符合第二章第</w:t>
            </w:r>
            <w:r>
              <w:rPr>
                <w:rFonts w:ascii="宋体" w:hAnsi="宋体" w:cs="宋体"/>
                <w:color w:val="auto"/>
                <w:sz w:val="21"/>
                <w:szCs w:val="21"/>
                <w:highlight w:val="none"/>
                <w:lang w:eastAsia="zh-CN"/>
              </w:rPr>
              <w:t>3.6</w:t>
            </w:r>
            <w:r>
              <w:rPr>
                <w:rFonts w:hint="eastAsia" w:ascii="宋体" w:hAnsi="宋体" w:cs="宋体"/>
                <w:color w:val="auto"/>
                <w:sz w:val="21"/>
                <w:szCs w:val="21"/>
                <w:highlight w:val="none"/>
                <w:lang w:eastAsia="zh-CN"/>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9" w:type="dxa"/>
            <w:vMerge w:val="continue"/>
            <w:vAlign w:val="center"/>
          </w:tcPr>
          <w:p>
            <w:pPr>
              <w:keepNext/>
              <w:jc w:val="center"/>
              <w:rPr>
                <w:rFonts w:ascii="宋体"/>
                <w:color w:val="auto"/>
                <w:sz w:val="21"/>
                <w:szCs w:val="21"/>
                <w:highlight w:val="none"/>
                <w:lang w:eastAsia="zh-CN"/>
              </w:rPr>
            </w:pPr>
          </w:p>
        </w:tc>
        <w:tc>
          <w:tcPr>
            <w:tcW w:w="1583" w:type="dxa"/>
            <w:gridSpan w:val="3"/>
            <w:vMerge w:val="continue"/>
            <w:vAlign w:val="center"/>
          </w:tcPr>
          <w:p>
            <w:pPr>
              <w:keepNext/>
              <w:jc w:val="center"/>
              <w:rPr>
                <w:rFonts w:ascii="宋体"/>
                <w:color w:val="auto"/>
                <w:sz w:val="21"/>
                <w:szCs w:val="21"/>
                <w:highlight w:val="none"/>
                <w:lang w:eastAsia="zh-CN"/>
              </w:rPr>
            </w:pPr>
          </w:p>
        </w:tc>
        <w:tc>
          <w:tcPr>
            <w:tcW w:w="2795"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交货期</w:t>
            </w:r>
          </w:p>
        </w:tc>
        <w:tc>
          <w:tcPr>
            <w:tcW w:w="3863" w:type="dxa"/>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符合第一章第</w:t>
            </w:r>
            <w:r>
              <w:rPr>
                <w:rFonts w:ascii="宋体" w:hAnsi="宋体" w:cs="宋体"/>
                <w:color w:val="auto"/>
                <w:sz w:val="21"/>
                <w:szCs w:val="21"/>
                <w:highlight w:val="none"/>
                <w:lang w:eastAsia="zh-CN"/>
              </w:rPr>
              <w:t>2</w:t>
            </w:r>
            <w:r>
              <w:rPr>
                <w:rFonts w:hint="eastAsia" w:ascii="宋体" w:hAnsi="宋体" w:cs="宋体"/>
                <w:color w:val="auto"/>
                <w:sz w:val="21"/>
                <w:szCs w:val="21"/>
                <w:highlight w:val="none"/>
                <w:lang w:eastAsia="zh-CN"/>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2.2.2</w:t>
            </w:r>
          </w:p>
        </w:tc>
        <w:tc>
          <w:tcPr>
            <w:tcW w:w="1583" w:type="dxa"/>
            <w:gridSpan w:val="3"/>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评审价格</w:t>
            </w:r>
          </w:p>
        </w:tc>
        <w:tc>
          <w:tcPr>
            <w:tcW w:w="6658" w:type="dxa"/>
            <w:gridSpan w:val="3"/>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供应商在响应函中填报的大写含税价格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50" w:type="dxa"/>
            <w:gridSpan w:val="7"/>
            <w:vAlign w:val="center"/>
          </w:tcPr>
          <w:p>
            <w:pPr>
              <w:keepNext/>
              <w:jc w:val="center"/>
              <w:rPr>
                <w:rFonts w:ascii="宋体"/>
                <w:color w:val="auto"/>
                <w:sz w:val="21"/>
                <w:szCs w:val="21"/>
                <w:highlight w:val="none"/>
                <w:lang w:eastAsia="zh-CN"/>
              </w:rPr>
            </w:pPr>
            <w:r>
              <w:rPr>
                <w:rFonts w:ascii="宋体" w:hAnsi="宋体" w:cs="宋体"/>
                <w:color w:val="auto"/>
                <w:sz w:val="21"/>
                <w:szCs w:val="21"/>
                <w:highlight w:val="none"/>
                <w:lang w:eastAsia="zh-CN"/>
              </w:rPr>
              <w:t xml:space="preserve">3   </w:t>
            </w:r>
            <w:r>
              <w:rPr>
                <w:rFonts w:hint="eastAsia" w:ascii="宋体" w:hAnsi="宋体" w:cs="宋体"/>
                <w:color w:val="auto"/>
                <w:sz w:val="21"/>
                <w:szCs w:val="21"/>
                <w:highlight w:val="none"/>
                <w:lang w:eastAsia="zh-CN"/>
              </w:rPr>
              <w:t>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86" w:type="dxa"/>
            <w:gridSpan w:val="2"/>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3.1</w:t>
            </w:r>
          </w:p>
        </w:tc>
        <w:tc>
          <w:tcPr>
            <w:tcW w:w="145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分值构成</w:t>
            </w:r>
          </w:p>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（总分</w:t>
            </w:r>
            <w:r>
              <w:rPr>
                <w:rFonts w:ascii="宋体" w:hAnsi="宋体" w:cs="宋体"/>
                <w:color w:val="auto"/>
                <w:sz w:val="21"/>
                <w:szCs w:val="21"/>
                <w:highlight w:val="none"/>
                <w:lang w:eastAsia="zh-CN"/>
              </w:rPr>
              <w:t>100</w:t>
            </w:r>
            <w:r>
              <w:rPr>
                <w:rFonts w:hint="eastAsia" w:ascii="宋体" w:hAnsi="宋体" w:cs="宋体"/>
                <w:color w:val="auto"/>
                <w:sz w:val="21"/>
                <w:szCs w:val="21"/>
                <w:highlight w:val="none"/>
                <w:lang w:eastAsia="zh-CN"/>
              </w:rPr>
              <w:t>分）</w:t>
            </w:r>
          </w:p>
        </w:tc>
        <w:tc>
          <w:tcPr>
            <w:tcW w:w="6707" w:type="dxa"/>
            <w:gridSpan w:val="4"/>
            <w:vAlign w:val="center"/>
          </w:tcPr>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1</w:t>
            </w:r>
            <w:r>
              <w:rPr>
                <w:rFonts w:hint="eastAsia" w:ascii="宋体" w:hAnsi="宋体" w:cs="宋体"/>
                <w:color w:val="auto"/>
                <w:sz w:val="21"/>
                <w:szCs w:val="21"/>
                <w:highlight w:val="none"/>
                <w:lang w:eastAsia="zh-CN"/>
              </w:rPr>
              <w:t>）商务评分：</w:t>
            </w:r>
            <w:r>
              <w:rPr>
                <w:rFonts w:hint="eastAsia" w:ascii="宋体" w:hAnsi="宋体" w:cs="宋体"/>
                <w:color w:val="auto"/>
                <w:sz w:val="21"/>
                <w:szCs w:val="21"/>
                <w:highlight w:val="none"/>
                <w:u w:val="single"/>
                <w:lang w:eastAsia="zh-CN"/>
              </w:rPr>
              <w:t>10</w:t>
            </w:r>
            <w:r>
              <w:rPr>
                <w:rFonts w:hint="eastAsia" w:ascii="宋体" w:hAnsi="宋体" w:cs="宋体"/>
                <w:color w:val="auto"/>
                <w:sz w:val="21"/>
                <w:szCs w:val="21"/>
                <w:highlight w:val="none"/>
                <w:lang w:eastAsia="zh-CN"/>
              </w:rPr>
              <w:t>分</w:t>
            </w:r>
          </w:p>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2</w:t>
            </w:r>
            <w:r>
              <w:rPr>
                <w:rFonts w:hint="eastAsia" w:ascii="宋体" w:hAnsi="宋体" w:cs="宋体"/>
                <w:color w:val="auto"/>
                <w:sz w:val="21"/>
                <w:szCs w:val="21"/>
                <w:highlight w:val="none"/>
                <w:lang w:eastAsia="zh-CN"/>
              </w:rPr>
              <w:t>）技术评分：</w:t>
            </w:r>
            <w:r>
              <w:rPr>
                <w:rFonts w:hint="eastAsia" w:ascii="宋体" w:hAnsi="宋体" w:cs="宋体"/>
                <w:color w:val="auto"/>
                <w:sz w:val="21"/>
                <w:szCs w:val="21"/>
                <w:highlight w:val="none"/>
                <w:u w:val="single"/>
                <w:lang w:eastAsia="zh-CN"/>
              </w:rPr>
              <w:t>50</w:t>
            </w:r>
            <w:r>
              <w:rPr>
                <w:rFonts w:hint="eastAsia" w:ascii="宋体" w:hAnsi="宋体" w:cs="宋体"/>
                <w:color w:val="auto"/>
                <w:sz w:val="21"/>
                <w:szCs w:val="21"/>
                <w:highlight w:val="none"/>
                <w:lang w:eastAsia="zh-CN"/>
              </w:rPr>
              <w:t>分</w:t>
            </w:r>
          </w:p>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3</w:t>
            </w:r>
            <w:r>
              <w:rPr>
                <w:rFonts w:hint="eastAsia" w:ascii="宋体" w:hAnsi="宋体" w:cs="宋体"/>
                <w:color w:val="auto"/>
                <w:sz w:val="21"/>
                <w:szCs w:val="21"/>
                <w:highlight w:val="none"/>
                <w:lang w:eastAsia="zh-CN"/>
              </w:rPr>
              <w:t>）报价评分：</w:t>
            </w:r>
            <w:r>
              <w:rPr>
                <w:rFonts w:hint="eastAsia" w:ascii="宋体" w:hAnsi="宋体" w:cs="宋体"/>
                <w:color w:val="auto"/>
                <w:sz w:val="21"/>
                <w:szCs w:val="21"/>
                <w:highlight w:val="none"/>
                <w:u w:val="single"/>
                <w:lang w:eastAsia="zh-CN"/>
              </w:rPr>
              <w:t>4</w:t>
            </w:r>
            <w:r>
              <w:rPr>
                <w:rFonts w:ascii="宋体" w:hAnsi="宋体" w:cs="宋体"/>
                <w:color w:val="auto"/>
                <w:sz w:val="21"/>
                <w:szCs w:val="21"/>
                <w:highlight w:val="none"/>
                <w:u w:val="single"/>
                <w:lang w:eastAsia="zh-CN"/>
              </w:rPr>
              <w:t>0</w:t>
            </w:r>
            <w:r>
              <w:rPr>
                <w:rFonts w:hint="eastAsia" w:ascii="宋体" w:hAnsi="宋体" w:cs="宋体"/>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86" w:type="dxa"/>
            <w:gridSpan w:val="2"/>
            <w:vAlign w:val="center"/>
          </w:tcPr>
          <w:p>
            <w:pPr>
              <w:keepNext/>
              <w:jc w:val="center"/>
              <w:rPr>
                <w:rFonts w:ascii="宋体"/>
                <w:color w:val="auto"/>
                <w:sz w:val="21"/>
                <w:szCs w:val="21"/>
                <w:highlight w:val="none"/>
                <w:lang w:eastAsia="zh-CN"/>
              </w:rPr>
            </w:pPr>
            <w:r>
              <w:rPr>
                <w:rFonts w:ascii="宋体" w:hAnsi="宋体" w:cs="宋体"/>
                <w:color w:val="auto"/>
                <w:sz w:val="21"/>
                <w:szCs w:val="21"/>
                <w:highlight w:val="none"/>
                <w:lang w:eastAsia="zh-CN"/>
              </w:rPr>
              <w:t>3.2</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2</w:t>
            </w:r>
            <w:r>
              <w:rPr>
                <w:rFonts w:hint="eastAsia" w:ascii="宋体" w:hAnsi="宋体" w:cs="宋体"/>
                <w:color w:val="auto"/>
                <w:sz w:val="21"/>
                <w:szCs w:val="21"/>
                <w:highlight w:val="none"/>
                <w:lang w:eastAsia="zh-CN"/>
              </w:rPr>
              <w:t>）</w:t>
            </w:r>
          </w:p>
        </w:tc>
        <w:tc>
          <w:tcPr>
            <w:tcW w:w="145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评审基准价计算方法</w:t>
            </w:r>
          </w:p>
        </w:tc>
        <w:tc>
          <w:tcPr>
            <w:tcW w:w="6707" w:type="dxa"/>
            <w:gridSpan w:val="4"/>
            <w:vAlign w:val="center"/>
          </w:tcPr>
          <w:p>
            <w:pPr>
              <w:keepNext/>
              <w:jc w:val="both"/>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评审基准价：各供应商的有效报价去掉一个最高值去掉一个最低值的算术平均值（不足5家时不去最高和最低值）。</w:t>
            </w:r>
          </w:p>
          <w:p>
            <w:pPr>
              <w:keepNext/>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响应报价的偏差率计算公式：偏差率</w:t>
            </w:r>
            <w:r>
              <w:rPr>
                <w:rFonts w:ascii="宋体" w:hAnsi="宋体" w:cs="宋体"/>
                <w:color w:val="auto"/>
                <w:sz w:val="21"/>
                <w:szCs w:val="21"/>
                <w:highlight w:val="none"/>
                <w:lang w:eastAsia="zh-CN"/>
              </w:rPr>
              <w:t>=</w:t>
            </w:r>
            <w:r>
              <w:rPr>
                <w:rFonts w:hint="eastAsia" w:ascii="宋体" w:hAnsi="宋体" w:cs="宋体"/>
                <w:color w:val="auto"/>
                <w:sz w:val="21"/>
                <w:szCs w:val="21"/>
                <w:highlight w:val="none"/>
                <w:lang w:eastAsia="zh-CN"/>
              </w:rPr>
              <w:t>（供应商评审价格-评审基准价）</w:t>
            </w:r>
            <w:r>
              <w:rPr>
                <w:rFonts w:ascii="宋体" w:hAnsi="宋体" w:cs="宋体"/>
                <w:color w:val="auto"/>
                <w:sz w:val="21"/>
                <w:szCs w:val="21"/>
                <w:highlight w:val="none"/>
                <w:lang w:eastAsia="zh-CN"/>
              </w:rPr>
              <w:t>/</w:t>
            </w:r>
            <w:r>
              <w:rPr>
                <w:rFonts w:hint="eastAsia" w:ascii="宋体" w:hAnsi="宋体" w:cs="宋体"/>
                <w:color w:val="auto"/>
                <w:sz w:val="21"/>
                <w:szCs w:val="21"/>
                <w:highlight w:val="none"/>
                <w:lang w:eastAsia="zh-CN"/>
              </w:rPr>
              <w:t>评审基准价</w:t>
            </w:r>
            <w:r>
              <w:rPr>
                <w:rFonts w:ascii="宋体" w:hAnsi="宋体" w:cs="宋体"/>
                <w:color w:val="auto"/>
                <w:sz w:val="21"/>
                <w:szCs w:val="21"/>
                <w:highlight w:val="none"/>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86"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条款号及名称</w:t>
            </w:r>
          </w:p>
        </w:tc>
        <w:tc>
          <w:tcPr>
            <w:tcW w:w="145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评分因素</w:t>
            </w:r>
          </w:p>
        </w:tc>
        <w:tc>
          <w:tcPr>
            <w:tcW w:w="6707" w:type="dxa"/>
            <w:gridSpan w:val="4"/>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6" w:type="dxa"/>
            <w:gridSpan w:val="2"/>
            <w:vMerge w:val="restart"/>
            <w:vAlign w:val="center"/>
          </w:tcPr>
          <w:p>
            <w:pPr>
              <w:keepNext/>
              <w:jc w:val="center"/>
              <w:rPr>
                <w:rFonts w:ascii="宋体"/>
                <w:color w:val="auto"/>
                <w:sz w:val="21"/>
                <w:szCs w:val="21"/>
                <w:highlight w:val="none"/>
                <w:lang w:eastAsia="zh-CN"/>
              </w:rPr>
            </w:pPr>
            <w:r>
              <w:rPr>
                <w:rFonts w:ascii="宋体" w:hAnsi="宋体" w:cs="宋体"/>
                <w:color w:val="auto"/>
                <w:sz w:val="21"/>
                <w:szCs w:val="21"/>
                <w:highlight w:val="none"/>
                <w:lang w:eastAsia="zh-CN"/>
              </w:rPr>
              <w:t>3.3</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1</w:t>
            </w:r>
            <w:r>
              <w:rPr>
                <w:rFonts w:hint="eastAsia" w:ascii="宋体" w:hAnsi="宋体" w:cs="宋体"/>
                <w:color w:val="auto"/>
                <w:sz w:val="21"/>
                <w:szCs w:val="21"/>
                <w:highlight w:val="none"/>
                <w:lang w:eastAsia="zh-CN"/>
              </w:rPr>
              <w:t>）</w:t>
            </w:r>
          </w:p>
        </w:tc>
        <w:tc>
          <w:tcPr>
            <w:tcW w:w="1457" w:type="dxa"/>
            <w:vMerge w:val="restart"/>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技术评分（50分）</w:t>
            </w:r>
          </w:p>
        </w:tc>
        <w:tc>
          <w:tcPr>
            <w:tcW w:w="6707" w:type="dxa"/>
            <w:gridSpan w:val="4"/>
            <w:vAlign w:val="center"/>
          </w:tcPr>
          <w:p>
            <w:pPr>
              <w:keepNext/>
              <w:jc w:val="both"/>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货物主要技术性能规格、货物参数、整体的配套性能；</w:t>
            </w:r>
            <w:r>
              <w:rPr>
                <w:rFonts w:ascii="宋体" w:hAnsi="宋体" w:cs="宋体"/>
                <w:color w:val="auto"/>
                <w:sz w:val="21"/>
                <w:szCs w:val="21"/>
                <w:highlight w:val="none"/>
                <w:lang w:eastAsia="zh-CN"/>
              </w:rPr>
              <w:t>0-20</w:t>
            </w:r>
            <w:r>
              <w:rPr>
                <w:rFonts w:hint="eastAsia" w:ascii="宋体" w:hAnsi="宋体" w:cs="宋体"/>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6" w:type="dxa"/>
            <w:gridSpan w:val="2"/>
            <w:vMerge w:val="continue"/>
            <w:vAlign w:val="center"/>
          </w:tcPr>
          <w:p>
            <w:pPr>
              <w:keepNext/>
              <w:jc w:val="center"/>
              <w:rPr>
                <w:rFonts w:ascii="宋体" w:cs="宋体"/>
                <w:color w:val="auto"/>
                <w:sz w:val="21"/>
                <w:szCs w:val="21"/>
                <w:highlight w:val="none"/>
                <w:lang w:eastAsia="zh-CN"/>
              </w:rPr>
            </w:pPr>
          </w:p>
        </w:tc>
        <w:tc>
          <w:tcPr>
            <w:tcW w:w="1457" w:type="dxa"/>
            <w:vMerge w:val="continue"/>
            <w:vAlign w:val="center"/>
          </w:tcPr>
          <w:p>
            <w:pPr>
              <w:keepNext/>
              <w:jc w:val="center"/>
              <w:rPr>
                <w:rFonts w:ascii="宋体" w:cs="宋体"/>
                <w:color w:val="auto"/>
                <w:sz w:val="21"/>
                <w:szCs w:val="21"/>
                <w:highlight w:val="none"/>
                <w:lang w:eastAsia="zh-CN"/>
              </w:rPr>
            </w:pPr>
          </w:p>
        </w:tc>
        <w:tc>
          <w:tcPr>
            <w:tcW w:w="6707" w:type="dxa"/>
            <w:gridSpan w:val="4"/>
            <w:vAlign w:val="center"/>
          </w:tcPr>
          <w:p>
            <w:pPr>
              <w:keepNext/>
              <w:jc w:val="both"/>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货物技术的先进性和可靠性；</w:t>
            </w:r>
            <w:r>
              <w:rPr>
                <w:rFonts w:ascii="宋体" w:hAnsi="宋体" w:cs="宋体"/>
                <w:color w:val="auto"/>
                <w:sz w:val="21"/>
                <w:szCs w:val="21"/>
                <w:highlight w:val="none"/>
                <w:lang w:eastAsia="zh-CN"/>
              </w:rPr>
              <w:t>0-</w:t>
            </w:r>
            <w:r>
              <w:rPr>
                <w:rFonts w:hint="eastAsia" w:ascii="宋体" w:hAnsi="宋体" w:cs="宋体"/>
                <w:color w:val="auto"/>
                <w:sz w:val="21"/>
                <w:szCs w:val="21"/>
                <w:highlight w:val="none"/>
                <w:lang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6" w:type="dxa"/>
            <w:gridSpan w:val="2"/>
            <w:vMerge w:val="continue"/>
            <w:vAlign w:val="center"/>
          </w:tcPr>
          <w:p>
            <w:pPr>
              <w:keepNext/>
              <w:jc w:val="center"/>
              <w:rPr>
                <w:rFonts w:ascii="宋体"/>
                <w:color w:val="auto"/>
                <w:sz w:val="21"/>
                <w:szCs w:val="21"/>
                <w:highlight w:val="none"/>
                <w:lang w:eastAsia="zh-CN"/>
              </w:rPr>
            </w:pPr>
          </w:p>
        </w:tc>
        <w:tc>
          <w:tcPr>
            <w:tcW w:w="1457" w:type="dxa"/>
            <w:vMerge w:val="continue"/>
            <w:vAlign w:val="center"/>
          </w:tcPr>
          <w:p>
            <w:pPr>
              <w:keepNext/>
              <w:jc w:val="center"/>
              <w:rPr>
                <w:rFonts w:ascii="宋体"/>
                <w:color w:val="auto"/>
                <w:sz w:val="21"/>
                <w:szCs w:val="21"/>
                <w:highlight w:val="none"/>
                <w:lang w:eastAsia="zh-CN"/>
              </w:rPr>
            </w:pPr>
          </w:p>
        </w:tc>
        <w:tc>
          <w:tcPr>
            <w:tcW w:w="6707" w:type="dxa"/>
            <w:gridSpan w:val="4"/>
            <w:vAlign w:val="center"/>
          </w:tcPr>
          <w:p>
            <w:pPr>
              <w:keepNext/>
              <w:jc w:val="both"/>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货物供应方案及措施、使用寿命的保证与承诺；</w:t>
            </w:r>
            <w:r>
              <w:rPr>
                <w:rFonts w:ascii="宋体" w:hAnsi="宋体" w:cs="宋体"/>
                <w:color w:val="auto"/>
                <w:sz w:val="21"/>
                <w:szCs w:val="21"/>
                <w:highlight w:val="none"/>
                <w:lang w:eastAsia="zh-CN"/>
              </w:rPr>
              <w:t>0-</w:t>
            </w:r>
            <w:r>
              <w:rPr>
                <w:rFonts w:hint="eastAsia" w:ascii="宋体" w:hAnsi="宋体" w:cs="宋体"/>
                <w:color w:val="auto"/>
                <w:sz w:val="21"/>
                <w:szCs w:val="21"/>
                <w:highlight w:val="none"/>
                <w:lang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6" w:type="dxa"/>
            <w:gridSpan w:val="2"/>
            <w:vMerge w:val="continue"/>
            <w:vAlign w:val="center"/>
          </w:tcPr>
          <w:p>
            <w:pPr>
              <w:keepNext/>
              <w:jc w:val="center"/>
              <w:rPr>
                <w:rFonts w:ascii="宋体"/>
                <w:color w:val="auto"/>
                <w:sz w:val="21"/>
                <w:szCs w:val="21"/>
                <w:highlight w:val="none"/>
                <w:lang w:eastAsia="zh-CN"/>
              </w:rPr>
            </w:pPr>
          </w:p>
        </w:tc>
        <w:tc>
          <w:tcPr>
            <w:tcW w:w="1457" w:type="dxa"/>
            <w:vMerge w:val="continue"/>
            <w:vAlign w:val="center"/>
          </w:tcPr>
          <w:p>
            <w:pPr>
              <w:keepNext/>
              <w:jc w:val="center"/>
              <w:rPr>
                <w:rFonts w:ascii="宋体"/>
                <w:color w:val="auto"/>
                <w:sz w:val="21"/>
                <w:szCs w:val="21"/>
                <w:highlight w:val="none"/>
                <w:lang w:eastAsia="zh-CN"/>
              </w:rPr>
            </w:pPr>
          </w:p>
        </w:tc>
        <w:tc>
          <w:tcPr>
            <w:tcW w:w="6707" w:type="dxa"/>
            <w:gridSpan w:val="4"/>
            <w:vAlign w:val="center"/>
          </w:tcPr>
          <w:p>
            <w:pPr>
              <w:keepNext/>
              <w:jc w:val="both"/>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货物产品质量安全性、稳定性强；</w:t>
            </w:r>
            <w:r>
              <w:rPr>
                <w:rFonts w:ascii="宋体" w:hAnsi="宋体" w:cs="宋体"/>
                <w:color w:val="auto"/>
                <w:sz w:val="21"/>
                <w:szCs w:val="21"/>
                <w:highlight w:val="none"/>
                <w:lang w:eastAsia="zh-CN"/>
              </w:rPr>
              <w:t>0-5</w:t>
            </w:r>
            <w:r>
              <w:rPr>
                <w:rFonts w:hint="eastAsia" w:ascii="宋体" w:hAnsi="宋体" w:cs="宋体"/>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6" w:type="dxa"/>
            <w:gridSpan w:val="2"/>
            <w:vMerge w:val="continue"/>
            <w:vAlign w:val="center"/>
          </w:tcPr>
          <w:p>
            <w:pPr>
              <w:keepNext/>
              <w:jc w:val="center"/>
              <w:rPr>
                <w:rFonts w:ascii="宋体"/>
                <w:color w:val="auto"/>
                <w:sz w:val="21"/>
                <w:szCs w:val="21"/>
                <w:highlight w:val="none"/>
                <w:lang w:eastAsia="zh-CN"/>
              </w:rPr>
            </w:pPr>
          </w:p>
        </w:tc>
        <w:tc>
          <w:tcPr>
            <w:tcW w:w="1457" w:type="dxa"/>
            <w:vMerge w:val="continue"/>
            <w:vAlign w:val="center"/>
          </w:tcPr>
          <w:p>
            <w:pPr>
              <w:keepNext/>
              <w:jc w:val="center"/>
              <w:rPr>
                <w:rFonts w:ascii="宋体"/>
                <w:color w:val="auto"/>
                <w:sz w:val="21"/>
                <w:szCs w:val="21"/>
                <w:highlight w:val="none"/>
                <w:lang w:eastAsia="zh-CN"/>
              </w:rPr>
            </w:pPr>
          </w:p>
        </w:tc>
        <w:tc>
          <w:tcPr>
            <w:tcW w:w="6707" w:type="dxa"/>
            <w:gridSpan w:val="4"/>
            <w:vAlign w:val="center"/>
          </w:tcPr>
          <w:p>
            <w:pPr>
              <w:adjustRightInd w:val="0"/>
              <w:snapToGrid w:val="0"/>
              <w:jc w:val="both"/>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货物到达最终目的地包装、运输、装卸情况；</w:t>
            </w:r>
            <w:r>
              <w:rPr>
                <w:rFonts w:ascii="宋体" w:hAnsi="宋体" w:cs="宋体"/>
                <w:color w:val="auto"/>
                <w:sz w:val="21"/>
                <w:szCs w:val="21"/>
                <w:highlight w:val="none"/>
                <w:lang w:eastAsia="zh-CN"/>
              </w:rPr>
              <w:t>0-2</w:t>
            </w:r>
            <w:r>
              <w:rPr>
                <w:rFonts w:hint="eastAsia" w:ascii="宋体" w:hAnsi="宋体" w:cs="宋体"/>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6" w:type="dxa"/>
            <w:gridSpan w:val="2"/>
            <w:vMerge w:val="continue"/>
            <w:vAlign w:val="center"/>
          </w:tcPr>
          <w:p>
            <w:pPr>
              <w:keepNext/>
              <w:jc w:val="center"/>
              <w:rPr>
                <w:rFonts w:ascii="宋体"/>
                <w:color w:val="auto"/>
                <w:sz w:val="21"/>
                <w:szCs w:val="21"/>
                <w:highlight w:val="none"/>
                <w:lang w:eastAsia="zh-CN"/>
              </w:rPr>
            </w:pPr>
          </w:p>
        </w:tc>
        <w:tc>
          <w:tcPr>
            <w:tcW w:w="1457" w:type="dxa"/>
            <w:vMerge w:val="continue"/>
            <w:vAlign w:val="center"/>
          </w:tcPr>
          <w:p>
            <w:pPr>
              <w:keepNext/>
              <w:jc w:val="center"/>
              <w:rPr>
                <w:rFonts w:ascii="宋体"/>
                <w:color w:val="auto"/>
                <w:sz w:val="21"/>
                <w:szCs w:val="21"/>
                <w:highlight w:val="none"/>
                <w:lang w:eastAsia="zh-CN"/>
              </w:rPr>
            </w:pPr>
          </w:p>
        </w:tc>
        <w:tc>
          <w:tcPr>
            <w:tcW w:w="6707" w:type="dxa"/>
            <w:gridSpan w:val="4"/>
            <w:vAlign w:val="center"/>
          </w:tcPr>
          <w:p>
            <w:pPr>
              <w:adjustRightInd w:val="0"/>
              <w:snapToGrid w:val="0"/>
              <w:jc w:val="both"/>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售后保障措施、运行维护、服务质量承诺；</w:t>
            </w:r>
            <w:r>
              <w:rPr>
                <w:rFonts w:ascii="宋体" w:hAnsi="宋体" w:cs="宋体"/>
                <w:color w:val="auto"/>
                <w:sz w:val="21"/>
                <w:szCs w:val="21"/>
                <w:highlight w:val="none"/>
                <w:lang w:eastAsia="zh-CN"/>
              </w:rPr>
              <w:t>0-3</w:t>
            </w:r>
            <w:r>
              <w:rPr>
                <w:rFonts w:hint="eastAsia" w:ascii="宋体" w:hAnsi="宋体" w:cs="宋体"/>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86" w:type="dxa"/>
            <w:gridSpan w:val="2"/>
            <w:vAlign w:val="center"/>
          </w:tcPr>
          <w:p>
            <w:pPr>
              <w:keepNext/>
              <w:jc w:val="center"/>
              <w:rPr>
                <w:rFonts w:ascii="宋体"/>
                <w:color w:val="auto"/>
                <w:sz w:val="21"/>
                <w:szCs w:val="21"/>
                <w:highlight w:val="none"/>
                <w:lang w:eastAsia="zh-CN"/>
              </w:rPr>
            </w:pPr>
            <w:r>
              <w:rPr>
                <w:rFonts w:ascii="宋体" w:hAnsi="宋体" w:cs="宋体"/>
                <w:color w:val="auto"/>
                <w:sz w:val="21"/>
                <w:szCs w:val="21"/>
                <w:highlight w:val="none"/>
                <w:lang w:eastAsia="zh-CN"/>
              </w:rPr>
              <w:t>3.3</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2</w:t>
            </w:r>
            <w:r>
              <w:rPr>
                <w:rFonts w:hint="eastAsia" w:ascii="宋体" w:hAnsi="宋体" w:cs="宋体"/>
                <w:color w:val="auto"/>
                <w:sz w:val="21"/>
                <w:szCs w:val="21"/>
                <w:highlight w:val="none"/>
                <w:lang w:eastAsia="zh-CN"/>
              </w:rPr>
              <w:t>）</w:t>
            </w:r>
          </w:p>
        </w:tc>
        <w:tc>
          <w:tcPr>
            <w:tcW w:w="145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商务评分标准（1</w:t>
            </w:r>
            <w:r>
              <w:rPr>
                <w:rFonts w:ascii="宋体" w:hAnsi="宋体" w:cs="宋体"/>
                <w:color w:val="auto"/>
                <w:sz w:val="21"/>
                <w:szCs w:val="21"/>
                <w:highlight w:val="none"/>
                <w:lang w:eastAsia="zh-CN"/>
              </w:rPr>
              <w:t>0</w:t>
            </w:r>
            <w:r>
              <w:rPr>
                <w:rFonts w:hint="eastAsia" w:ascii="宋体" w:hAnsi="宋体" w:cs="宋体"/>
                <w:color w:val="auto"/>
                <w:sz w:val="21"/>
                <w:szCs w:val="21"/>
                <w:highlight w:val="none"/>
                <w:lang w:eastAsia="zh-CN"/>
              </w:rPr>
              <w:t>分）</w:t>
            </w:r>
          </w:p>
        </w:tc>
        <w:tc>
          <w:tcPr>
            <w:tcW w:w="1166" w:type="dxa"/>
            <w:gridSpan w:val="2"/>
            <w:vAlign w:val="center"/>
          </w:tcPr>
          <w:p>
            <w:pPr>
              <w:keepNext/>
              <w:adjustRightInd w:val="0"/>
              <w:snapToGrid w:val="0"/>
              <w:jc w:val="center"/>
              <w:rPr>
                <w:rFonts w:ascii="宋体"/>
                <w:color w:val="auto"/>
                <w:sz w:val="21"/>
                <w:szCs w:val="21"/>
                <w:highlight w:val="none"/>
              </w:rPr>
            </w:pPr>
            <w:r>
              <w:rPr>
                <w:rFonts w:hint="eastAsia" w:ascii="宋体" w:hAnsi="宋体" w:cs="宋体"/>
                <w:color w:val="auto"/>
                <w:sz w:val="21"/>
                <w:szCs w:val="21"/>
                <w:highlight w:val="none"/>
              </w:rPr>
              <w:t>供应商业绩（</w:t>
            </w:r>
            <w:r>
              <w:rPr>
                <w:rFonts w:hint="eastAsia" w:ascii="宋体" w:hAnsi="宋体" w:cs="宋体"/>
                <w:color w:val="auto"/>
                <w:sz w:val="21"/>
                <w:szCs w:val="21"/>
                <w:highlight w:val="none"/>
                <w:lang w:eastAsia="zh-CN"/>
              </w:rPr>
              <w:t>10</w:t>
            </w:r>
            <w:r>
              <w:rPr>
                <w:rFonts w:hint="eastAsia" w:ascii="宋体" w:hAnsi="宋体" w:cs="宋体"/>
                <w:color w:val="auto"/>
                <w:sz w:val="21"/>
                <w:szCs w:val="21"/>
                <w:highlight w:val="none"/>
              </w:rPr>
              <w:t>分）</w:t>
            </w:r>
          </w:p>
        </w:tc>
        <w:tc>
          <w:tcPr>
            <w:tcW w:w="5541" w:type="dxa"/>
            <w:gridSpan w:val="2"/>
            <w:vAlign w:val="center"/>
          </w:tcPr>
          <w:p>
            <w:pPr>
              <w:keepNext/>
              <w:adjustRightInd w:val="0"/>
              <w:snapToGrid w:val="0"/>
              <w:jc w:val="both"/>
              <w:rPr>
                <w:rFonts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企业近3年（</w:t>
            </w:r>
            <w:r>
              <w:rPr>
                <w:rFonts w:hint="eastAsia" w:ascii="宋体" w:hAnsi="宋体" w:cs="宋体"/>
                <w:snapToGrid w:val="0"/>
                <w:color w:val="auto"/>
                <w:sz w:val="21"/>
                <w:szCs w:val="21"/>
                <w:highlight w:val="none"/>
                <w:lang w:eastAsia="zh-CN"/>
              </w:rPr>
              <w:t>2020年</w:t>
            </w:r>
            <w:r>
              <w:rPr>
                <w:rFonts w:hint="eastAsia" w:ascii="宋体" w:hAnsi="宋体" w:cs="宋体"/>
                <w:snapToGrid w:val="0"/>
                <w:color w:val="auto"/>
                <w:sz w:val="21"/>
                <w:szCs w:val="21"/>
                <w:highlight w:val="none"/>
                <w:lang w:eastAsia="zh-CN"/>
              </w:rPr>
              <w:t>1月1日至今）每完成</w:t>
            </w:r>
            <w:r>
              <w:rPr>
                <w:rFonts w:ascii="宋体" w:hAnsi="宋体" w:cs="宋体"/>
                <w:snapToGrid w:val="0"/>
                <w:color w:val="auto"/>
                <w:sz w:val="21"/>
                <w:szCs w:val="21"/>
                <w:highlight w:val="none"/>
                <w:lang w:eastAsia="zh-CN"/>
              </w:rPr>
              <w:t>1</w:t>
            </w:r>
            <w:r>
              <w:rPr>
                <w:rFonts w:hint="eastAsia" w:ascii="宋体" w:hAnsi="宋体" w:cs="宋体"/>
                <w:snapToGrid w:val="0"/>
                <w:color w:val="auto"/>
                <w:sz w:val="21"/>
                <w:szCs w:val="21"/>
                <w:highlight w:val="none"/>
                <w:lang w:eastAsia="zh-CN"/>
              </w:rPr>
              <w:t>份同类型产品销售业绩得5分，最多得10分</w:t>
            </w:r>
          </w:p>
          <w:p>
            <w:pPr>
              <w:keepNext/>
              <w:adjustRightInd w:val="0"/>
              <w:snapToGrid w:val="0"/>
              <w:jc w:val="both"/>
              <w:rPr>
                <w:rFonts w:ascii="宋体" w:hAnsi="宋体" w:cs="宋体"/>
                <w:b/>
                <w:snapToGrid w:val="0"/>
                <w:color w:val="auto"/>
                <w:sz w:val="21"/>
                <w:szCs w:val="21"/>
                <w:highlight w:val="none"/>
                <w:lang w:eastAsia="zh-CN"/>
              </w:rPr>
            </w:pPr>
            <w:bookmarkStart w:id="377" w:name="_Toc80027187"/>
            <w:r>
              <w:rPr>
                <w:rFonts w:hint="eastAsia" w:ascii="宋体" w:hAnsi="宋体" w:cs="宋体"/>
                <w:b/>
                <w:snapToGrid w:val="0"/>
                <w:color w:val="auto"/>
                <w:sz w:val="21"/>
                <w:szCs w:val="21"/>
                <w:highlight w:val="none"/>
                <w:lang w:eastAsia="zh-CN"/>
              </w:rPr>
              <w:t>注：</w:t>
            </w:r>
          </w:p>
          <w:p>
            <w:pPr>
              <w:pStyle w:val="58"/>
              <w:keepNext/>
              <w:numPr>
                <w:ilvl w:val="0"/>
                <w:numId w:val="2"/>
              </w:numPr>
              <w:adjustRightInd w:val="0"/>
              <w:snapToGrid w:val="0"/>
              <w:ind w:firstLineChars="0"/>
              <w:jc w:val="both"/>
              <w:rPr>
                <w:rFonts w:ascii="宋体" w:hAnsi="宋体" w:cs="宋体"/>
                <w:b/>
                <w:snapToGrid w:val="0"/>
                <w:color w:val="auto"/>
                <w:sz w:val="21"/>
                <w:szCs w:val="21"/>
                <w:highlight w:val="none"/>
                <w:lang w:eastAsia="zh-CN"/>
              </w:rPr>
            </w:pPr>
            <w:r>
              <w:rPr>
                <w:rFonts w:hint="eastAsia" w:ascii="宋体" w:hAnsi="宋体" w:cs="宋体"/>
                <w:b/>
                <w:snapToGrid w:val="0"/>
                <w:color w:val="auto"/>
                <w:sz w:val="21"/>
                <w:szCs w:val="21"/>
                <w:highlight w:val="none"/>
                <w:lang w:eastAsia="zh-CN"/>
              </w:rPr>
              <w:t>类型产品销售业绩指：</w:t>
            </w:r>
            <w:r>
              <w:rPr>
                <w:rFonts w:hint="eastAsia" w:ascii="宋体" w:hAnsi="宋体" w:cs="宋体"/>
                <w:b/>
                <w:snapToGrid w:val="0"/>
                <w:color w:val="auto"/>
                <w:sz w:val="21"/>
                <w:szCs w:val="21"/>
                <w:highlight w:val="none"/>
                <w:lang w:eastAsia="zh-CN"/>
              </w:rPr>
              <w:t>液压支架（阀组、阀等）配件</w:t>
            </w:r>
            <w:r>
              <w:rPr>
                <w:rFonts w:hint="eastAsia" w:ascii="宋体" w:hAnsi="宋体" w:cs="宋体"/>
                <w:b/>
                <w:snapToGrid w:val="0"/>
                <w:color w:val="auto"/>
                <w:sz w:val="21"/>
                <w:szCs w:val="21"/>
                <w:highlight w:val="none"/>
                <w:lang w:eastAsia="zh-CN"/>
              </w:rPr>
              <w:t>销售或维修业绩，以提供制造商产品业绩为准。</w:t>
            </w:r>
          </w:p>
          <w:p>
            <w:pPr>
              <w:keepNext/>
              <w:adjustRightInd w:val="0"/>
              <w:snapToGrid w:val="0"/>
              <w:jc w:val="both"/>
              <w:rPr>
                <w:rFonts w:ascii="宋体" w:hAnsi="宋体" w:cs="宋体"/>
                <w:b/>
                <w:snapToGrid w:val="0"/>
                <w:color w:val="auto"/>
                <w:sz w:val="21"/>
                <w:szCs w:val="21"/>
                <w:highlight w:val="none"/>
                <w:lang w:eastAsia="zh-CN"/>
              </w:rPr>
            </w:pPr>
            <w:r>
              <w:rPr>
                <w:rFonts w:hint="eastAsia" w:ascii="宋体" w:hAnsi="宋体" w:cs="宋体"/>
                <w:b/>
                <w:snapToGrid w:val="0"/>
                <w:color w:val="auto"/>
                <w:sz w:val="21"/>
                <w:szCs w:val="21"/>
                <w:highlight w:val="none"/>
                <w:lang w:eastAsia="zh-CN"/>
              </w:rPr>
              <w:t>②业绩的证明材料以合同为准，否则不予计分。</w:t>
            </w:r>
            <w:bookmarkEnd w:id="377"/>
          </w:p>
          <w:p>
            <w:pPr>
              <w:keepNext/>
              <w:adjustRightInd w:val="0"/>
              <w:snapToGrid w:val="0"/>
              <w:jc w:val="both"/>
              <w:rPr>
                <w:rFonts w:ascii="宋体" w:hAnsi="宋体" w:cs="宋体"/>
                <w:b/>
                <w:snapToGrid w:val="0"/>
                <w:color w:val="auto"/>
                <w:sz w:val="21"/>
                <w:szCs w:val="21"/>
                <w:highlight w:val="none"/>
                <w:lang w:eastAsia="zh-CN"/>
              </w:rPr>
            </w:pPr>
            <w:bookmarkStart w:id="378" w:name="_Toc80027188"/>
            <w:r>
              <w:rPr>
                <w:rFonts w:hint="eastAsia" w:ascii="宋体" w:hAnsi="宋体" w:cs="宋体"/>
                <w:b/>
                <w:snapToGrid w:val="0"/>
                <w:color w:val="auto"/>
                <w:sz w:val="21"/>
                <w:szCs w:val="21"/>
                <w:highlight w:val="none"/>
                <w:lang w:eastAsia="zh-CN"/>
              </w:rPr>
              <w:t>③合同复印件至少提供封面、首页、盖章页以及其它上述规定的页（如规模页等，如有）。</w:t>
            </w:r>
            <w:bookmarkEnd w:id="3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86" w:type="dxa"/>
            <w:gridSpan w:val="2"/>
            <w:vAlign w:val="center"/>
          </w:tcPr>
          <w:p>
            <w:pPr>
              <w:keepNext/>
              <w:jc w:val="center"/>
              <w:rPr>
                <w:rFonts w:ascii="宋体"/>
                <w:color w:val="auto"/>
                <w:sz w:val="21"/>
                <w:szCs w:val="21"/>
                <w:highlight w:val="none"/>
                <w:lang w:eastAsia="zh-CN"/>
              </w:rPr>
            </w:pPr>
            <w:r>
              <w:rPr>
                <w:rFonts w:ascii="宋体" w:hAnsi="宋体" w:cs="宋体"/>
                <w:color w:val="auto"/>
                <w:sz w:val="21"/>
                <w:szCs w:val="21"/>
                <w:highlight w:val="none"/>
                <w:lang w:eastAsia="zh-CN"/>
              </w:rPr>
              <w:t>3.3</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3</w:t>
            </w:r>
            <w:r>
              <w:rPr>
                <w:rFonts w:hint="eastAsia" w:ascii="宋体" w:hAnsi="宋体" w:cs="宋体"/>
                <w:color w:val="auto"/>
                <w:sz w:val="21"/>
                <w:szCs w:val="21"/>
                <w:highlight w:val="none"/>
                <w:lang w:eastAsia="zh-CN"/>
              </w:rPr>
              <w:t>）</w:t>
            </w:r>
          </w:p>
        </w:tc>
        <w:tc>
          <w:tcPr>
            <w:tcW w:w="145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报价评分标准（40分）</w:t>
            </w:r>
          </w:p>
        </w:tc>
        <w:tc>
          <w:tcPr>
            <w:tcW w:w="1166" w:type="dxa"/>
            <w:gridSpan w:val="2"/>
            <w:vAlign w:val="center"/>
          </w:tcPr>
          <w:p>
            <w:pPr>
              <w:keepNext/>
              <w:adjustRightInd w:val="0"/>
              <w:snapToGrid w:val="0"/>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响应总报价（4</w:t>
            </w:r>
            <w:r>
              <w:rPr>
                <w:rFonts w:ascii="宋体" w:hAnsi="宋体" w:cs="宋体"/>
                <w:color w:val="auto"/>
                <w:sz w:val="21"/>
                <w:szCs w:val="21"/>
                <w:highlight w:val="none"/>
                <w:lang w:eastAsia="zh-CN"/>
              </w:rPr>
              <w:t>0</w:t>
            </w:r>
            <w:r>
              <w:rPr>
                <w:rFonts w:hint="eastAsia" w:ascii="宋体" w:hAnsi="宋体" w:cs="宋体"/>
                <w:color w:val="auto"/>
                <w:sz w:val="21"/>
                <w:szCs w:val="21"/>
                <w:highlight w:val="none"/>
                <w:lang w:eastAsia="zh-CN"/>
              </w:rPr>
              <w:t>分）</w:t>
            </w:r>
          </w:p>
        </w:tc>
        <w:tc>
          <w:tcPr>
            <w:tcW w:w="5541" w:type="dxa"/>
            <w:gridSpan w:val="2"/>
            <w:vAlign w:val="center"/>
          </w:tcPr>
          <w:p>
            <w:pPr>
              <w:keepNext/>
              <w:adjustRightInd w:val="0"/>
              <w:snapToGrid w:val="0"/>
              <w:jc w:val="both"/>
              <w:rPr>
                <w:rFonts w:ascii="宋体"/>
                <w:color w:val="auto"/>
                <w:sz w:val="21"/>
                <w:szCs w:val="21"/>
                <w:highlight w:val="none"/>
                <w:lang w:eastAsia="zh-CN"/>
              </w:rPr>
            </w:pPr>
            <w:r>
              <w:rPr>
                <w:rFonts w:hint="eastAsia" w:ascii="宋体" w:hAnsi="宋体" w:cs="宋体"/>
                <w:color w:val="auto"/>
                <w:sz w:val="21"/>
                <w:szCs w:val="21"/>
                <w:highlight w:val="none"/>
                <w:lang w:eastAsia="zh-CN"/>
              </w:rPr>
              <w:t>当供应商的响应报价等于评审基准价时得满分，每高于评审基准价</w:t>
            </w:r>
            <w:r>
              <w:rPr>
                <w:rFonts w:ascii="宋体" w:hAnsi="宋体" w:cs="宋体"/>
                <w:color w:val="auto"/>
                <w:sz w:val="21"/>
                <w:szCs w:val="21"/>
                <w:highlight w:val="none"/>
                <w:lang w:eastAsia="zh-CN"/>
              </w:rPr>
              <w:t>1%</w:t>
            </w:r>
            <w:r>
              <w:rPr>
                <w:rFonts w:hint="eastAsia" w:ascii="宋体" w:hAnsi="宋体" w:cs="宋体"/>
                <w:color w:val="auto"/>
                <w:sz w:val="21"/>
                <w:szCs w:val="21"/>
                <w:highlight w:val="none"/>
                <w:lang w:eastAsia="zh-CN"/>
              </w:rPr>
              <w:t>扣0.3分，每低于评审基准价</w:t>
            </w:r>
            <w:r>
              <w:rPr>
                <w:rFonts w:ascii="宋体" w:hAnsi="宋体" w:cs="宋体"/>
                <w:color w:val="auto"/>
                <w:sz w:val="21"/>
                <w:szCs w:val="21"/>
                <w:highlight w:val="none"/>
                <w:lang w:eastAsia="zh-CN"/>
              </w:rPr>
              <w:t>1%</w:t>
            </w:r>
            <w:r>
              <w:rPr>
                <w:rFonts w:hint="eastAsia" w:ascii="宋体" w:hAnsi="宋体" w:cs="宋体"/>
                <w:color w:val="auto"/>
                <w:sz w:val="21"/>
                <w:szCs w:val="21"/>
                <w:highlight w:val="none"/>
                <w:lang w:eastAsia="zh-CN"/>
              </w:rPr>
              <w:t>扣0.2分，不足</w:t>
            </w:r>
            <w:r>
              <w:rPr>
                <w:rFonts w:ascii="宋体" w:hAnsi="宋体" w:cs="宋体"/>
                <w:color w:val="auto"/>
                <w:sz w:val="21"/>
                <w:szCs w:val="21"/>
                <w:highlight w:val="none"/>
                <w:lang w:eastAsia="zh-CN"/>
              </w:rPr>
              <w:t>1%</w:t>
            </w:r>
            <w:r>
              <w:rPr>
                <w:rFonts w:hint="eastAsia" w:ascii="宋体" w:hAnsi="宋体" w:cs="宋体"/>
                <w:color w:val="auto"/>
                <w:sz w:val="21"/>
                <w:szCs w:val="21"/>
                <w:highlight w:val="none"/>
                <w:lang w:eastAsia="zh-CN"/>
              </w:rPr>
              <w:t>时按内插法计算，扣完为止，分值保留两位小数。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86"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条款号</w:t>
            </w:r>
          </w:p>
        </w:tc>
        <w:tc>
          <w:tcPr>
            <w:tcW w:w="1457" w:type="dxa"/>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条款内容</w:t>
            </w:r>
          </w:p>
        </w:tc>
        <w:tc>
          <w:tcPr>
            <w:tcW w:w="6707" w:type="dxa"/>
            <w:gridSpan w:val="4"/>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443" w:type="dxa"/>
            <w:gridSpan w:val="3"/>
            <w:vAlign w:val="center"/>
          </w:tcPr>
          <w:p>
            <w:pPr>
              <w:keepNext/>
              <w:jc w:val="center"/>
              <w:rPr>
                <w:rFonts w:ascii="宋体" w:cs="宋体"/>
                <w:color w:val="auto"/>
                <w:sz w:val="21"/>
                <w:szCs w:val="21"/>
                <w:highlight w:val="none"/>
                <w:lang w:eastAsia="zh-CN"/>
              </w:rPr>
            </w:pPr>
            <w:r>
              <w:rPr>
                <w:rFonts w:ascii="宋体" w:hAnsi="宋体" w:cs="宋体"/>
                <w:color w:val="auto"/>
                <w:sz w:val="21"/>
                <w:szCs w:val="21"/>
                <w:highlight w:val="none"/>
                <w:lang w:eastAsia="zh-CN"/>
              </w:rPr>
              <w:t>3.6</w:t>
            </w:r>
          </w:p>
        </w:tc>
        <w:tc>
          <w:tcPr>
            <w:tcW w:w="1166" w:type="dxa"/>
            <w:gridSpan w:val="2"/>
            <w:vAlign w:val="center"/>
          </w:tcPr>
          <w:p>
            <w:pPr>
              <w:keepNext/>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供应商并列时确定供应商优先顺序的规则</w:t>
            </w:r>
          </w:p>
        </w:tc>
        <w:tc>
          <w:tcPr>
            <w:tcW w:w="5541" w:type="dxa"/>
            <w:gridSpan w:val="2"/>
            <w:vAlign w:val="center"/>
          </w:tcPr>
          <w:p>
            <w:pPr>
              <w:keepNext/>
              <w:adjustRightInd w:val="0"/>
              <w:snapToGrid w:val="0"/>
              <w:jc w:val="both"/>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本次评审采用综合评分法，评审小组按得分由高到低顺序推荐候选成交供应商。综合评分相等时，以报价低的优先；报价也相等的，以技术得分高的优先；如果技术得分也相等的，由采购人自行确定。</w:t>
            </w:r>
          </w:p>
        </w:tc>
      </w:tr>
    </w:tbl>
    <w:p>
      <w:pPr>
        <w:keepNext/>
        <w:spacing w:line="360" w:lineRule="auto"/>
        <w:ind w:firstLine="480" w:firstLineChars="200"/>
        <w:rPr>
          <w:rFonts w:ascii="宋体"/>
          <w:color w:val="auto"/>
          <w:highlight w:val="none"/>
          <w:lang w:eastAsia="zh-CN"/>
        </w:rPr>
      </w:pPr>
    </w:p>
    <w:p>
      <w:pPr>
        <w:keepNext/>
        <w:widowControl/>
        <w:rPr>
          <w:rFonts w:ascii="宋体"/>
          <w:color w:val="auto"/>
          <w:sz w:val="21"/>
          <w:szCs w:val="21"/>
          <w:highlight w:val="none"/>
          <w:lang w:eastAsia="zh-CN"/>
        </w:rPr>
      </w:pPr>
      <w:r>
        <w:rPr>
          <w:rFonts w:ascii="宋体"/>
          <w:color w:val="auto"/>
          <w:highlight w:val="none"/>
          <w:lang w:eastAsia="zh-CN"/>
        </w:rPr>
        <w:br w:type="page"/>
      </w:r>
      <w:bookmarkStart w:id="379" w:name="_Toc13754"/>
      <w:bookmarkStart w:id="380" w:name="bookmark497"/>
      <w:bookmarkStart w:id="381" w:name="_Toc15092"/>
      <w:bookmarkStart w:id="382" w:name="bookmark496"/>
      <w:bookmarkStart w:id="383" w:name="_Toc79479634"/>
      <w:bookmarkStart w:id="384" w:name="bookmark495"/>
      <w:r>
        <w:rPr>
          <w:rFonts w:ascii="宋体" w:hAnsi="宋体" w:cs="宋体"/>
          <w:color w:val="auto"/>
          <w:sz w:val="21"/>
          <w:szCs w:val="21"/>
          <w:highlight w:val="none"/>
          <w:lang w:eastAsia="zh-CN"/>
        </w:rPr>
        <w:t xml:space="preserve">1 </w:t>
      </w:r>
      <w:r>
        <w:rPr>
          <w:rFonts w:hint="eastAsia" w:ascii="宋体" w:hAnsi="宋体" w:cs="宋体"/>
          <w:color w:val="auto"/>
          <w:sz w:val="21"/>
          <w:szCs w:val="21"/>
          <w:highlight w:val="none"/>
          <w:lang w:eastAsia="zh-CN"/>
        </w:rPr>
        <w:t>评审方法（综合评分法）</w:t>
      </w:r>
      <w:bookmarkEnd w:id="379"/>
      <w:bookmarkEnd w:id="380"/>
      <w:bookmarkEnd w:id="381"/>
      <w:bookmarkEnd w:id="382"/>
      <w:bookmarkEnd w:id="383"/>
      <w:bookmarkEnd w:id="384"/>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本次评审采用综合评分法。</w:t>
      </w:r>
      <w:r>
        <w:rPr>
          <w:rFonts w:hint="eastAsia"/>
          <w:color w:val="auto"/>
          <w:sz w:val="21"/>
          <w:szCs w:val="21"/>
          <w:highlight w:val="none"/>
          <w:lang w:eastAsia="zh-CN"/>
        </w:rPr>
        <w:t>评审</w:t>
      </w:r>
      <w:r>
        <w:rPr>
          <w:rFonts w:hint="eastAsia"/>
          <w:color w:val="auto"/>
          <w:sz w:val="21"/>
          <w:szCs w:val="21"/>
          <w:highlight w:val="none"/>
        </w:rPr>
        <w:t>小组对满足采购文件实质性要求的响应文件，按照本章第</w:t>
      </w:r>
      <w:r>
        <w:rPr>
          <w:color w:val="auto"/>
          <w:sz w:val="21"/>
          <w:szCs w:val="21"/>
          <w:highlight w:val="none"/>
          <w:lang w:val="en-US" w:eastAsia="zh-CN"/>
        </w:rPr>
        <w:t>3</w:t>
      </w:r>
      <w:r>
        <w:rPr>
          <w:rFonts w:hint="eastAsia"/>
          <w:color w:val="auto"/>
          <w:sz w:val="21"/>
          <w:szCs w:val="21"/>
          <w:highlight w:val="none"/>
          <w:lang w:val="en-US" w:eastAsia="zh-CN"/>
        </w:rPr>
        <w:t>条</w:t>
      </w:r>
      <w:r>
        <w:rPr>
          <w:rFonts w:hint="eastAsia"/>
          <w:color w:val="auto"/>
          <w:sz w:val="21"/>
          <w:szCs w:val="21"/>
          <w:highlight w:val="none"/>
        </w:rPr>
        <w:t>规定的评分标准进行打分，并按得分由高到低的顺序推荐候选成交供应商。</w:t>
      </w:r>
    </w:p>
    <w:p>
      <w:pPr>
        <w:pStyle w:val="4"/>
        <w:keepLines w:val="0"/>
        <w:spacing w:before="0" w:after="0" w:line="360" w:lineRule="auto"/>
        <w:ind w:firstLine="422" w:firstLineChars="200"/>
        <w:rPr>
          <w:rFonts w:ascii="宋体"/>
          <w:color w:val="auto"/>
          <w:sz w:val="21"/>
          <w:szCs w:val="21"/>
          <w:highlight w:val="none"/>
          <w:lang w:eastAsia="zh-CN"/>
        </w:rPr>
      </w:pPr>
      <w:bookmarkStart w:id="385" w:name="bookmark503"/>
      <w:bookmarkStart w:id="386" w:name="_Toc79479635"/>
      <w:bookmarkStart w:id="387" w:name="_Toc28537"/>
      <w:bookmarkStart w:id="388" w:name="bookmark502"/>
      <w:bookmarkStart w:id="389" w:name="_Toc24293"/>
      <w:bookmarkStart w:id="390" w:name="bookmark501"/>
      <w:r>
        <w:rPr>
          <w:rFonts w:ascii="宋体" w:hAnsi="宋体" w:cs="宋体"/>
          <w:color w:val="auto"/>
          <w:sz w:val="21"/>
          <w:szCs w:val="21"/>
          <w:highlight w:val="none"/>
          <w:lang w:eastAsia="zh-CN"/>
        </w:rPr>
        <w:t xml:space="preserve">2 </w:t>
      </w:r>
      <w:r>
        <w:rPr>
          <w:rFonts w:hint="eastAsia" w:ascii="宋体" w:hAnsi="宋体" w:cs="宋体"/>
          <w:color w:val="auto"/>
          <w:sz w:val="21"/>
          <w:szCs w:val="21"/>
          <w:highlight w:val="none"/>
          <w:lang w:eastAsia="zh-CN"/>
        </w:rPr>
        <w:t>初步评审标准和程序</w:t>
      </w:r>
      <w:bookmarkEnd w:id="385"/>
      <w:bookmarkEnd w:id="386"/>
      <w:bookmarkEnd w:id="387"/>
      <w:bookmarkEnd w:id="388"/>
      <w:bookmarkEnd w:id="389"/>
      <w:bookmarkEnd w:id="390"/>
    </w:p>
    <w:p>
      <w:pPr>
        <w:pStyle w:val="5"/>
        <w:keepLines w:val="0"/>
        <w:spacing w:before="0" w:after="0" w:line="360" w:lineRule="auto"/>
        <w:ind w:firstLine="422" w:firstLineChars="200"/>
        <w:rPr>
          <w:rFonts w:ascii="宋体"/>
          <w:color w:val="auto"/>
          <w:sz w:val="21"/>
          <w:szCs w:val="21"/>
          <w:highlight w:val="none"/>
          <w:lang w:eastAsia="zh-CN"/>
        </w:rPr>
      </w:pPr>
      <w:bookmarkStart w:id="391" w:name="bookmark504"/>
      <w:bookmarkStart w:id="392" w:name="_Toc79479636"/>
      <w:bookmarkStart w:id="393" w:name="_Toc25579"/>
      <w:bookmarkStart w:id="394" w:name="bookmark505"/>
      <w:bookmarkStart w:id="395" w:name="_Toc10182"/>
      <w:bookmarkStart w:id="396" w:name="bookmark506"/>
      <w:r>
        <w:rPr>
          <w:rFonts w:ascii="宋体" w:hAnsi="宋体" w:cs="宋体"/>
          <w:color w:val="auto"/>
          <w:sz w:val="21"/>
          <w:szCs w:val="21"/>
          <w:highlight w:val="none"/>
          <w:lang w:eastAsia="zh-CN"/>
        </w:rPr>
        <w:t xml:space="preserve">2.1 </w:t>
      </w:r>
      <w:r>
        <w:rPr>
          <w:rFonts w:hint="eastAsia" w:ascii="宋体" w:hAnsi="宋体" w:cs="宋体"/>
          <w:color w:val="auto"/>
          <w:sz w:val="21"/>
          <w:szCs w:val="21"/>
          <w:highlight w:val="none"/>
          <w:lang w:eastAsia="zh-CN"/>
        </w:rPr>
        <w:t>初步评审标准</w:t>
      </w:r>
      <w:bookmarkEnd w:id="391"/>
      <w:bookmarkEnd w:id="392"/>
      <w:bookmarkEnd w:id="393"/>
      <w:bookmarkEnd w:id="394"/>
      <w:bookmarkEnd w:id="395"/>
      <w:bookmarkEnd w:id="396"/>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 xml:space="preserve">2.1.1 </w:t>
      </w:r>
      <w:r>
        <w:rPr>
          <w:rFonts w:hint="eastAsia"/>
          <w:color w:val="auto"/>
          <w:sz w:val="21"/>
          <w:szCs w:val="21"/>
          <w:highlight w:val="none"/>
        </w:rPr>
        <w:t>形式评审标准：见评审办法前附表。</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 xml:space="preserve">2.1.2 </w:t>
      </w:r>
      <w:r>
        <w:rPr>
          <w:rFonts w:hint="eastAsia"/>
          <w:color w:val="auto"/>
          <w:sz w:val="21"/>
          <w:szCs w:val="21"/>
          <w:highlight w:val="none"/>
        </w:rPr>
        <w:t>资格评审标准：见评审办法前附表。</w:t>
      </w:r>
    </w:p>
    <w:p>
      <w:pPr>
        <w:pStyle w:val="46"/>
        <w:keepNext/>
        <w:tabs>
          <w:tab w:val="left" w:pos="354"/>
        </w:tabs>
        <w:spacing w:line="360" w:lineRule="auto"/>
        <w:ind w:firstLine="420" w:firstLineChars="200"/>
        <w:rPr>
          <w:rFonts w:cs="Times New Roman"/>
          <w:color w:val="auto"/>
          <w:sz w:val="21"/>
          <w:szCs w:val="21"/>
          <w:highlight w:val="none"/>
        </w:rPr>
      </w:pPr>
      <w:bookmarkStart w:id="397" w:name="bookmark507"/>
      <w:bookmarkEnd w:id="397"/>
      <w:r>
        <w:rPr>
          <w:color w:val="auto"/>
          <w:sz w:val="21"/>
          <w:szCs w:val="21"/>
          <w:highlight w:val="none"/>
          <w:lang w:val="en-US" w:eastAsia="zh-CN"/>
        </w:rPr>
        <w:t xml:space="preserve">2.1.3 </w:t>
      </w:r>
      <w:r>
        <w:rPr>
          <w:rFonts w:hint="eastAsia"/>
          <w:color w:val="auto"/>
          <w:sz w:val="21"/>
          <w:szCs w:val="21"/>
          <w:highlight w:val="none"/>
        </w:rPr>
        <w:t>响应性评审标准：见评审办法前附表。</w:t>
      </w:r>
    </w:p>
    <w:p>
      <w:pPr>
        <w:pStyle w:val="5"/>
        <w:keepLines w:val="0"/>
        <w:spacing w:before="0" w:after="0" w:line="360" w:lineRule="auto"/>
        <w:ind w:firstLine="422" w:firstLineChars="200"/>
        <w:rPr>
          <w:rFonts w:ascii="宋体"/>
          <w:color w:val="auto"/>
          <w:sz w:val="21"/>
          <w:szCs w:val="21"/>
          <w:highlight w:val="none"/>
          <w:lang w:eastAsia="zh-CN"/>
        </w:rPr>
      </w:pPr>
      <w:bookmarkStart w:id="398" w:name="bookmark510"/>
      <w:bookmarkStart w:id="399" w:name="bookmark509"/>
      <w:bookmarkStart w:id="400" w:name="_Toc10625"/>
      <w:bookmarkStart w:id="401" w:name="_Toc83"/>
      <w:bookmarkStart w:id="402" w:name="_Toc79479637"/>
      <w:bookmarkStart w:id="403" w:name="bookmark508"/>
      <w:r>
        <w:rPr>
          <w:rFonts w:ascii="宋体" w:hAnsi="宋体" w:cs="宋体"/>
          <w:color w:val="auto"/>
          <w:sz w:val="21"/>
          <w:szCs w:val="21"/>
          <w:highlight w:val="none"/>
          <w:lang w:eastAsia="zh-CN"/>
        </w:rPr>
        <w:t xml:space="preserve">2.2 </w:t>
      </w:r>
      <w:r>
        <w:rPr>
          <w:rFonts w:hint="eastAsia" w:ascii="宋体" w:hAnsi="宋体" w:cs="宋体"/>
          <w:color w:val="auto"/>
          <w:sz w:val="21"/>
          <w:szCs w:val="21"/>
          <w:highlight w:val="none"/>
          <w:lang w:eastAsia="zh-CN"/>
        </w:rPr>
        <w:t>初步评审程序</w:t>
      </w:r>
      <w:bookmarkEnd w:id="398"/>
      <w:bookmarkEnd w:id="399"/>
      <w:bookmarkEnd w:id="400"/>
      <w:bookmarkEnd w:id="401"/>
      <w:bookmarkEnd w:id="402"/>
      <w:bookmarkEnd w:id="403"/>
    </w:p>
    <w:p>
      <w:pPr>
        <w:pStyle w:val="46"/>
        <w:keepNext/>
        <w:tabs>
          <w:tab w:val="left" w:pos="354"/>
        </w:tabs>
        <w:spacing w:line="360" w:lineRule="auto"/>
        <w:ind w:firstLine="420" w:firstLineChars="200"/>
        <w:rPr>
          <w:rFonts w:cs="Times New Roman"/>
          <w:color w:val="auto"/>
          <w:sz w:val="21"/>
          <w:szCs w:val="21"/>
          <w:highlight w:val="none"/>
        </w:rPr>
      </w:pPr>
      <w:bookmarkStart w:id="404" w:name="bookmark511"/>
      <w:bookmarkEnd w:id="404"/>
      <w:r>
        <w:rPr>
          <w:color w:val="auto"/>
          <w:sz w:val="21"/>
          <w:szCs w:val="21"/>
          <w:highlight w:val="none"/>
          <w:lang w:val="en-US" w:eastAsia="zh-CN"/>
        </w:rPr>
        <w:t>2.2.</w:t>
      </w:r>
      <w:r>
        <w:rPr>
          <w:color w:val="auto"/>
          <w:sz w:val="21"/>
          <w:szCs w:val="21"/>
          <w:highlight w:val="none"/>
        </w:rPr>
        <w:t>1</w:t>
      </w:r>
      <w:r>
        <w:rPr>
          <w:rFonts w:hint="eastAsia"/>
          <w:color w:val="auto"/>
          <w:sz w:val="21"/>
          <w:szCs w:val="21"/>
          <w:highlight w:val="none"/>
          <w:lang w:eastAsia="zh-CN"/>
        </w:rPr>
        <w:t>评审</w:t>
      </w:r>
      <w:r>
        <w:rPr>
          <w:rFonts w:hint="eastAsia"/>
          <w:color w:val="auto"/>
          <w:sz w:val="21"/>
          <w:szCs w:val="21"/>
          <w:highlight w:val="none"/>
        </w:rPr>
        <w:t>小组依据本章第</w:t>
      </w:r>
      <w:r>
        <w:rPr>
          <w:color w:val="auto"/>
          <w:sz w:val="21"/>
          <w:szCs w:val="21"/>
          <w:highlight w:val="none"/>
          <w:lang w:val="en-US" w:eastAsia="zh-CN"/>
        </w:rPr>
        <w:t>2.</w:t>
      </w:r>
      <w:r>
        <w:rPr>
          <w:color w:val="auto"/>
          <w:sz w:val="21"/>
          <w:szCs w:val="21"/>
          <w:highlight w:val="none"/>
        </w:rPr>
        <w:t>1</w:t>
      </w:r>
      <w:r>
        <w:rPr>
          <w:rFonts w:hint="eastAsia"/>
          <w:color w:val="auto"/>
          <w:sz w:val="21"/>
          <w:szCs w:val="21"/>
          <w:highlight w:val="none"/>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46"/>
        <w:keepNext/>
        <w:spacing w:line="360" w:lineRule="auto"/>
        <w:ind w:firstLine="420" w:firstLineChars="200"/>
        <w:rPr>
          <w:rFonts w:cs="Times New Roman"/>
          <w:color w:val="auto"/>
          <w:sz w:val="21"/>
          <w:szCs w:val="21"/>
          <w:highlight w:val="none"/>
          <w:lang w:eastAsia="zh-CN"/>
        </w:rPr>
      </w:pPr>
      <w:r>
        <w:rPr>
          <w:color w:val="auto"/>
          <w:sz w:val="21"/>
          <w:szCs w:val="21"/>
          <w:highlight w:val="none"/>
          <w:lang w:val="en-US" w:eastAsia="zh-CN"/>
        </w:rPr>
        <w:t xml:space="preserve">2.2.2 </w:t>
      </w:r>
      <w:r>
        <w:rPr>
          <w:rFonts w:hint="eastAsia"/>
          <w:color w:val="auto"/>
          <w:sz w:val="21"/>
          <w:szCs w:val="21"/>
          <w:highlight w:val="none"/>
          <w:lang w:val="en-US" w:eastAsia="zh-CN"/>
        </w:rPr>
        <w:t>除</w:t>
      </w:r>
      <w:r>
        <w:rPr>
          <w:rFonts w:hint="eastAsia"/>
          <w:color w:val="auto"/>
          <w:sz w:val="21"/>
          <w:szCs w:val="21"/>
          <w:highlight w:val="none"/>
          <w:lang w:eastAsia="zh-CN"/>
        </w:rPr>
        <w:t>评审办法前附表另有规定外，评审价格为供应商在响应函中填报的大写含税价格。</w:t>
      </w:r>
    </w:p>
    <w:p>
      <w:pPr>
        <w:pStyle w:val="46"/>
        <w:keepNext/>
        <w:spacing w:line="360" w:lineRule="auto"/>
        <w:ind w:firstLine="420" w:firstLineChars="200"/>
        <w:rPr>
          <w:rFonts w:cs="Times New Roman"/>
          <w:color w:val="auto"/>
          <w:sz w:val="21"/>
          <w:szCs w:val="21"/>
          <w:highlight w:val="none"/>
          <w:lang w:eastAsia="zh-CN"/>
        </w:rPr>
      </w:pPr>
      <w:r>
        <w:rPr>
          <w:rFonts w:hint="eastAsia"/>
          <w:color w:val="auto"/>
          <w:sz w:val="21"/>
          <w:szCs w:val="21"/>
          <w:highlight w:val="none"/>
          <w:lang w:eastAsia="zh-CN"/>
        </w:rPr>
        <w:t>评审价格若超过最高限价，其响应文件将被视为无效。</w:t>
      </w:r>
    </w:p>
    <w:p>
      <w:pPr>
        <w:pStyle w:val="46"/>
        <w:keepNext/>
        <w:spacing w:line="360" w:lineRule="auto"/>
        <w:ind w:firstLine="420" w:firstLineChars="200"/>
        <w:rPr>
          <w:rFonts w:cs="Times New Roman"/>
          <w:color w:val="auto"/>
          <w:sz w:val="21"/>
          <w:szCs w:val="21"/>
          <w:highlight w:val="none"/>
          <w:lang w:eastAsia="zh-CN"/>
        </w:rPr>
      </w:pPr>
      <w:r>
        <w:rPr>
          <w:rFonts w:hint="eastAsia"/>
          <w:color w:val="auto"/>
          <w:sz w:val="21"/>
          <w:szCs w:val="21"/>
          <w:highlight w:val="none"/>
          <w:lang w:eastAsia="zh-CN"/>
        </w:rPr>
        <w:t>评审</w:t>
      </w:r>
      <w:r>
        <w:rPr>
          <w:rFonts w:hint="eastAsia"/>
          <w:color w:val="auto"/>
          <w:sz w:val="21"/>
          <w:szCs w:val="21"/>
          <w:highlight w:val="none"/>
        </w:rPr>
        <w:t>小组经过对供应商的报价进行比较或基于专业经验认为某一供应商的报价</w:t>
      </w:r>
      <w:r>
        <w:rPr>
          <w:rFonts w:hint="eastAsia"/>
          <w:color w:val="auto"/>
          <w:sz w:val="21"/>
          <w:szCs w:val="21"/>
          <w:highlight w:val="none"/>
          <w:lang w:eastAsia="zh-CN"/>
        </w:rPr>
        <w:t>异常</w:t>
      </w:r>
      <w:r>
        <w:rPr>
          <w:rFonts w:hint="eastAsia"/>
          <w:color w:val="auto"/>
          <w:sz w:val="21"/>
          <w:szCs w:val="21"/>
          <w:highlight w:val="none"/>
        </w:rPr>
        <w:t>过低，可能对其履约造成影响时，应当要求该供应商作岀书面说明并提供相应的证明材料。供应商不能合理说明或者不能提供相应证明材料的，其响应文件将被视为无效。</w:t>
      </w:r>
    </w:p>
    <w:p>
      <w:pPr>
        <w:pStyle w:val="46"/>
        <w:keepNext/>
        <w:spacing w:line="360" w:lineRule="auto"/>
        <w:ind w:firstLine="420" w:firstLineChars="200"/>
        <w:rPr>
          <w:rFonts w:cs="Times New Roman"/>
          <w:color w:val="auto"/>
          <w:sz w:val="21"/>
          <w:szCs w:val="21"/>
          <w:highlight w:val="none"/>
        </w:rPr>
      </w:pPr>
      <w:bookmarkStart w:id="405" w:name="bookmark512"/>
      <w:bookmarkEnd w:id="405"/>
      <w:r>
        <w:rPr>
          <w:color w:val="auto"/>
          <w:sz w:val="21"/>
          <w:szCs w:val="21"/>
          <w:highlight w:val="none"/>
          <w:lang w:val="en-US" w:eastAsia="zh-CN"/>
        </w:rPr>
        <w:t xml:space="preserve">2.2.3 </w:t>
      </w:r>
      <w:r>
        <w:rPr>
          <w:rFonts w:hint="eastAsia"/>
          <w:color w:val="auto"/>
          <w:sz w:val="21"/>
          <w:szCs w:val="21"/>
          <w:highlight w:val="none"/>
        </w:rPr>
        <w:t>响应文件中有含义不明确、同类问题表述不一致或有明显文字和计算错误的内容，评审小组可要求供应商在规定时间内进行澄清、说明和补正。供应商澄清、说明和补正的内容应由法定代表人</w:t>
      </w:r>
      <w:r>
        <w:rPr>
          <w:color w:val="auto"/>
          <w:sz w:val="21"/>
          <w:szCs w:val="21"/>
          <w:highlight w:val="none"/>
        </w:rPr>
        <w:t>(</w:t>
      </w:r>
      <w:r>
        <w:rPr>
          <w:rFonts w:hint="eastAsia"/>
          <w:color w:val="auto"/>
          <w:sz w:val="21"/>
          <w:szCs w:val="21"/>
          <w:highlight w:val="none"/>
        </w:rPr>
        <w:t>单位负责人</w:t>
      </w:r>
      <w:r>
        <w:rPr>
          <w:color w:val="auto"/>
          <w:sz w:val="21"/>
          <w:szCs w:val="21"/>
          <w:highlight w:val="none"/>
        </w:rPr>
        <w:t>)</w:t>
      </w:r>
      <w:r>
        <w:rPr>
          <w:rFonts w:hint="eastAsia"/>
          <w:color w:val="auto"/>
          <w:sz w:val="21"/>
          <w:szCs w:val="21"/>
          <w:highlight w:val="none"/>
        </w:rPr>
        <w:t>或其授权的代理人签字或加盖单位章。澄清、说明和补正不得超出响应文件的范围且不得改变响应文件的实质性内容，并构成响应文件的组成部分。</w:t>
      </w:r>
      <w:bookmarkStart w:id="406" w:name="bookmark1167"/>
      <w:bookmarkEnd w:id="406"/>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报价有算术错误或其他错误的，</w:t>
      </w:r>
      <w:r>
        <w:rPr>
          <w:rFonts w:hint="eastAsia"/>
          <w:color w:val="auto"/>
          <w:sz w:val="21"/>
          <w:szCs w:val="21"/>
          <w:highlight w:val="none"/>
          <w:lang w:eastAsia="zh-CN"/>
        </w:rPr>
        <w:t>评审</w:t>
      </w:r>
      <w:r>
        <w:rPr>
          <w:rFonts w:hint="eastAsia"/>
          <w:color w:val="auto"/>
          <w:sz w:val="21"/>
          <w:szCs w:val="21"/>
          <w:highlight w:val="none"/>
        </w:rPr>
        <w:t>小组按以下原则</w:t>
      </w:r>
      <w:r>
        <w:rPr>
          <w:rFonts w:hint="eastAsia"/>
          <w:color w:val="auto"/>
          <w:sz w:val="21"/>
          <w:szCs w:val="21"/>
          <w:highlight w:val="none"/>
          <w:lang w:eastAsia="zh-CN"/>
        </w:rPr>
        <w:t>要求供应商对响应报价</w:t>
      </w:r>
      <w:r>
        <w:rPr>
          <w:rFonts w:hint="eastAsia"/>
          <w:color w:val="auto"/>
          <w:sz w:val="21"/>
          <w:szCs w:val="21"/>
          <w:highlight w:val="none"/>
        </w:rPr>
        <w:t>进行修正，并要求供应商书面澄清确认。供应商拒不澄清确认的，其响应文件将被视为无效：</w:t>
      </w:r>
    </w:p>
    <w:p>
      <w:pPr>
        <w:pStyle w:val="46"/>
        <w:keepNext/>
        <w:tabs>
          <w:tab w:val="left" w:pos="986"/>
        </w:tabs>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大写金额与小写金额不一致的，以大写金额为准；</w:t>
      </w:r>
    </w:p>
    <w:p>
      <w:pPr>
        <w:pStyle w:val="46"/>
        <w:keepNext/>
        <w:tabs>
          <w:tab w:val="left" w:pos="1030"/>
        </w:tabs>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总价金额与单价金额不一致的，以单价金额为准，但单价金额小数点有明显错误的除外；</w:t>
      </w:r>
    </w:p>
    <w:p>
      <w:pPr>
        <w:pStyle w:val="46"/>
        <w:keepNext/>
        <w:tabs>
          <w:tab w:val="left" w:pos="1026"/>
        </w:tabs>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报价表中合计报价与分项报价的合价不一致的，以各分项报价的合价累计数为准；</w:t>
      </w:r>
    </w:p>
    <w:p>
      <w:pPr>
        <w:pStyle w:val="46"/>
        <w:keepNext/>
        <w:tabs>
          <w:tab w:val="left" w:pos="1030"/>
        </w:tabs>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w:t>
      </w:r>
      <w:r>
        <w:rPr>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如果分项报价中存在缺漏项，且缺漏项内容不属于实质性偏差的，则视为缺漏项内容的价格已包含在其他分项报价之中。</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报价的算术错误修正不改变评审依据的最终总报价。当修正后的总报价高于原</w:t>
      </w:r>
      <w:r>
        <w:rPr>
          <w:rFonts w:hint="eastAsia"/>
          <w:color w:val="auto"/>
          <w:sz w:val="21"/>
          <w:szCs w:val="21"/>
          <w:highlight w:val="none"/>
          <w:lang w:eastAsia="zh-CN"/>
        </w:rPr>
        <w:t>响应</w:t>
      </w:r>
      <w:r>
        <w:rPr>
          <w:rFonts w:hint="eastAsia"/>
          <w:color w:val="auto"/>
          <w:sz w:val="21"/>
          <w:szCs w:val="21"/>
          <w:highlight w:val="none"/>
        </w:rPr>
        <w:t>报价时，视同供应商最终报价错误产生少漏计费用，签订合同时由供应商承担</w:t>
      </w:r>
      <w:r>
        <w:rPr>
          <w:color w:val="auto"/>
          <w:sz w:val="21"/>
          <w:szCs w:val="21"/>
          <w:highlight w:val="none"/>
        </w:rPr>
        <w:t>,</w:t>
      </w:r>
      <w:r>
        <w:rPr>
          <w:rFonts w:hint="eastAsia"/>
          <w:color w:val="auto"/>
          <w:sz w:val="21"/>
          <w:szCs w:val="21"/>
          <w:highlight w:val="none"/>
        </w:rPr>
        <w:t>如评审小组认为供应商无法承受少漏计费用，可以将最终报价作为异常低价处理；当修正后的总报价低于原</w:t>
      </w:r>
      <w:r>
        <w:rPr>
          <w:rFonts w:hint="eastAsia"/>
          <w:color w:val="auto"/>
          <w:sz w:val="21"/>
          <w:szCs w:val="21"/>
          <w:highlight w:val="none"/>
          <w:lang w:eastAsia="zh-CN"/>
        </w:rPr>
        <w:t>响应</w:t>
      </w:r>
      <w:r>
        <w:rPr>
          <w:rFonts w:hint="eastAsia"/>
          <w:color w:val="auto"/>
          <w:sz w:val="21"/>
          <w:szCs w:val="21"/>
          <w:highlight w:val="none"/>
        </w:rPr>
        <w:t>报价时，签订合同时以修正后的报价为准。</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 xml:space="preserve">2.2.4 </w:t>
      </w:r>
      <w:r>
        <w:rPr>
          <w:rFonts w:hint="eastAsia"/>
          <w:color w:val="auto"/>
          <w:sz w:val="21"/>
          <w:szCs w:val="21"/>
          <w:highlight w:val="none"/>
        </w:rPr>
        <w:t>供应商有串通、弄虚作假、行贿等违法行为的，其响应文件将被视为无效。</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 xml:space="preserve">2.2.5 </w:t>
      </w:r>
      <w:r>
        <w:rPr>
          <w:rFonts w:hint="eastAsia"/>
          <w:color w:val="auto"/>
          <w:sz w:val="21"/>
          <w:szCs w:val="21"/>
          <w:highlight w:val="none"/>
        </w:rPr>
        <w:t>特殊情形处理</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选择直接转换采购方式采购的，评审小组按照本章第</w:t>
      </w:r>
      <w:r>
        <w:rPr>
          <w:color w:val="auto"/>
          <w:sz w:val="21"/>
          <w:szCs w:val="21"/>
          <w:highlight w:val="none"/>
        </w:rPr>
        <w:t>5</w:t>
      </w:r>
      <w:r>
        <w:rPr>
          <w:rFonts w:hint="eastAsia"/>
          <w:color w:val="auto"/>
          <w:sz w:val="21"/>
          <w:szCs w:val="21"/>
          <w:highlight w:val="none"/>
        </w:rPr>
        <w:t>条</w:t>
      </w:r>
      <w:r>
        <w:rPr>
          <w:rFonts w:hint="eastAsia"/>
          <w:color w:val="auto"/>
          <w:sz w:val="21"/>
          <w:szCs w:val="21"/>
          <w:highlight w:val="none"/>
          <w:lang w:val="zh-CN" w:eastAsia="zh-CN"/>
        </w:rPr>
        <w:t>“直</w:t>
      </w:r>
      <w:r>
        <w:rPr>
          <w:rFonts w:hint="eastAsia"/>
          <w:color w:val="auto"/>
          <w:sz w:val="21"/>
          <w:szCs w:val="21"/>
          <w:highlight w:val="none"/>
        </w:rPr>
        <w:t>接转换采购方式评审程序”重新评审。除了采购人与供应商双方提出修改补充并接受新的条件和要求外</w:t>
      </w:r>
      <w:r>
        <w:rPr>
          <w:color w:val="auto"/>
          <w:sz w:val="21"/>
          <w:szCs w:val="21"/>
          <w:highlight w:val="none"/>
        </w:rPr>
        <w:t>,</w:t>
      </w:r>
      <w:r>
        <w:rPr>
          <w:rFonts w:hint="eastAsia"/>
          <w:color w:val="auto"/>
          <w:sz w:val="21"/>
          <w:szCs w:val="21"/>
          <w:highlight w:val="none"/>
        </w:rPr>
        <w:t>原采购文件与原响应文件对采购人和供应商仍然具有相应约束力。</w:t>
      </w:r>
    </w:p>
    <w:p>
      <w:pPr>
        <w:pStyle w:val="4"/>
        <w:keepLines w:val="0"/>
        <w:spacing w:before="0" w:after="0" w:line="360" w:lineRule="auto"/>
        <w:ind w:firstLine="422" w:firstLineChars="200"/>
        <w:rPr>
          <w:rFonts w:ascii="宋体"/>
          <w:color w:val="auto"/>
          <w:sz w:val="21"/>
          <w:szCs w:val="21"/>
          <w:highlight w:val="none"/>
          <w:lang w:eastAsia="zh-CN"/>
        </w:rPr>
      </w:pPr>
      <w:bookmarkStart w:id="407" w:name="_Toc27987"/>
      <w:bookmarkStart w:id="408" w:name="_Toc79479638"/>
      <w:r>
        <w:rPr>
          <w:rFonts w:ascii="宋体" w:hAnsi="宋体" w:cs="宋体"/>
          <w:color w:val="auto"/>
          <w:sz w:val="21"/>
          <w:szCs w:val="21"/>
          <w:highlight w:val="none"/>
          <w:lang w:eastAsia="zh-CN"/>
        </w:rPr>
        <w:t xml:space="preserve">3 </w:t>
      </w:r>
      <w:r>
        <w:rPr>
          <w:rFonts w:hint="eastAsia" w:ascii="宋体" w:hAnsi="宋体" w:cs="宋体"/>
          <w:color w:val="auto"/>
          <w:sz w:val="21"/>
          <w:szCs w:val="21"/>
          <w:highlight w:val="none"/>
          <w:lang w:eastAsia="zh-CN"/>
        </w:rPr>
        <w:t>详细评审标准和程序</w:t>
      </w:r>
      <w:bookmarkEnd w:id="407"/>
      <w:bookmarkEnd w:id="408"/>
    </w:p>
    <w:p>
      <w:pPr>
        <w:pStyle w:val="5"/>
        <w:keepLines w:val="0"/>
        <w:spacing w:before="0" w:after="0" w:line="360" w:lineRule="auto"/>
        <w:ind w:firstLine="422" w:firstLineChars="200"/>
        <w:rPr>
          <w:rFonts w:ascii="宋体"/>
          <w:color w:val="auto"/>
          <w:sz w:val="21"/>
          <w:szCs w:val="21"/>
          <w:highlight w:val="none"/>
          <w:lang w:eastAsia="zh-CN"/>
        </w:rPr>
      </w:pPr>
      <w:bookmarkStart w:id="409" w:name="_Toc11415"/>
      <w:bookmarkStart w:id="410" w:name="_Toc16918"/>
      <w:bookmarkStart w:id="411" w:name="_Toc79479639"/>
      <w:r>
        <w:rPr>
          <w:rFonts w:ascii="宋体" w:hAnsi="宋体" w:cs="宋体"/>
          <w:color w:val="auto"/>
          <w:sz w:val="21"/>
          <w:szCs w:val="21"/>
          <w:highlight w:val="none"/>
          <w:lang w:eastAsia="zh-CN"/>
        </w:rPr>
        <w:t xml:space="preserve">3.1 </w:t>
      </w:r>
      <w:bookmarkEnd w:id="409"/>
      <w:r>
        <w:rPr>
          <w:rFonts w:hint="eastAsia" w:ascii="宋体" w:hAnsi="宋体" w:cs="宋体"/>
          <w:color w:val="auto"/>
          <w:sz w:val="21"/>
          <w:szCs w:val="21"/>
          <w:highlight w:val="none"/>
          <w:lang w:eastAsia="zh-CN"/>
        </w:rPr>
        <w:t>分值构成</w:t>
      </w:r>
      <w:bookmarkEnd w:id="410"/>
      <w:bookmarkEnd w:id="411"/>
    </w:p>
    <w:p>
      <w:pPr>
        <w:pStyle w:val="46"/>
        <w:keepNext/>
        <w:tabs>
          <w:tab w:val="left" w:pos="986"/>
        </w:tabs>
        <w:spacing w:line="360" w:lineRule="auto"/>
        <w:ind w:firstLine="420" w:firstLineChars="200"/>
        <w:rPr>
          <w:rFonts w:cs="Times New Roman"/>
          <w:color w:val="auto"/>
          <w:sz w:val="21"/>
          <w:szCs w:val="21"/>
          <w:highlight w:val="none"/>
        </w:rPr>
      </w:pPr>
      <w:bookmarkStart w:id="412" w:name="bookmark526"/>
      <w:bookmarkEnd w:id="412"/>
      <w:bookmarkStart w:id="413" w:name="bookmark525"/>
      <w:bookmarkEnd w:id="413"/>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）技术评分</w:t>
      </w:r>
      <w:r>
        <w:rPr>
          <w:rFonts w:hint="eastAsia"/>
          <w:color w:val="auto"/>
          <w:sz w:val="21"/>
          <w:szCs w:val="21"/>
          <w:highlight w:val="none"/>
        </w:rPr>
        <w:t>：见评审办法前附表；</w:t>
      </w:r>
    </w:p>
    <w:p>
      <w:pPr>
        <w:pStyle w:val="46"/>
        <w:keepNext/>
        <w:tabs>
          <w:tab w:val="left" w:pos="986"/>
        </w:tabs>
        <w:spacing w:line="360" w:lineRule="auto"/>
        <w:ind w:firstLine="420" w:firstLineChars="200"/>
        <w:rPr>
          <w:rFonts w:cs="Times New Roman"/>
          <w:color w:val="auto"/>
          <w:sz w:val="21"/>
          <w:szCs w:val="21"/>
          <w:highlight w:val="none"/>
        </w:rPr>
      </w:pPr>
      <w:bookmarkStart w:id="414" w:name="bookmark527"/>
      <w:bookmarkEnd w:id="414"/>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）商务评分</w:t>
      </w:r>
      <w:r>
        <w:rPr>
          <w:rFonts w:hint="eastAsia"/>
          <w:color w:val="auto"/>
          <w:sz w:val="21"/>
          <w:szCs w:val="21"/>
          <w:highlight w:val="none"/>
        </w:rPr>
        <w:t>：见评审办法前附表；</w:t>
      </w:r>
    </w:p>
    <w:p>
      <w:pPr>
        <w:pStyle w:val="46"/>
        <w:keepNext/>
        <w:tabs>
          <w:tab w:val="left" w:pos="986"/>
        </w:tabs>
        <w:spacing w:line="360" w:lineRule="auto"/>
        <w:ind w:firstLine="420" w:firstLineChars="200"/>
        <w:rPr>
          <w:rFonts w:cs="Times New Roman"/>
          <w:color w:val="auto"/>
          <w:sz w:val="21"/>
          <w:szCs w:val="21"/>
          <w:highlight w:val="none"/>
        </w:rPr>
      </w:pPr>
      <w:bookmarkStart w:id="415" w:name="bookmark528"/>
      <w:bookmarkEnd w:id="415"/>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报价评分：见评审办法前附表；</w:t>
      </w:r>
    </w:p>
    <w:p>
      <w:pPr>
        <w:pStyle w:val="5"/>
        <w:keepLines w:val="0"/>
        <w:spacing w:before="0" w:after="0" w:line="360" w:lineRule="auto"/>
        <w:ind w:firstLine="422" w:firstLineChars="200"/>
        <w:rPr>
          <w:rFonts w:ascii="宋体"/>
          <w:color w:val="auto"/>
          <w:sz w:val="21"/>
          <w:szCs w:val="21"/>
          <w:highlight w:val="none"/>
          <w:lang w:eastAsia="zh-CN"/>
        </w:rPr>
      </w:pPr>
      <w:bookmarkStart w:id="416" w:name="bookmark529"/>
      <w:bookmarkEnd w:id="416"/>
      <w:bookmarkStart w:id="417" w:name="_Toc79479640"/>
      <w:bookmarkStart w:id="418" w:name="_Toc24597"/>
      <w:r>
        <w:rPr>
          <w:rFonts w:ascii="宋体" w:hAnsi="宋体" w:cs="宋体"/>
          <w:color w:val="auto"/>
          <w:sz w:val="21"/>
          <w:szCs w:val="21"/>
          <w:highlight w:val="none"/>
          <w:lang w:eastAsia="zh-CN"/>
        </w:rPr>
        <w:t xml:space="preserve">3.2 </w:t>
      </w:r>
      <w:r>
        <w:rPr>
          <w:rFonts w:hint="eastAsia" w:ascii="宋体" w:hAnsi="宋体" w:cs="宋体"/>
          <w:color w:val="auto"/>
          <w:sz w:val="21"/>
          <w:szCs w:val="21"/>
          <w:highlight w:val="none"/>
          <w:lang w:eastAsia="zh-CN"/>
        </w:rPr>
        <w:t>评审基准价计算</w:t>
      </w:r>
      <w:bookmarkEnd w:id="417"/>
      <w:bookmarkEnd w:id="418"/>
    </w:p>
    <w:p>
      <w:pPr>
        <w:pStyle w:val="46"/>
        <w:keepNext/>
        <w:tabs>
          <w:tab w:val="left" w:pos="991"/>
        </w:tabs>
        <w:spacing w:line="360" w:lineRule="auto"/>
        <w:ind w:firstLine="420" w:firstLineChars="200"/>
        <w:rPr>
          <w:rFonts w:cs="Times New Roman"/>
          <w:color w:val="auto"/>
          <w:sz w:val="21"/>
          <w:szCs w:val="21"/>
          <w:highlight w:val="none"/>
        </w:rPr>
      </w:pPr>
      <w:bookmarkStart w:id="419" w:name="bookmark530"/>
      <w:bookmarkEnd w:id="419"/>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评审价格：评审价格为按照本章第</w:t>
      </w:r>
      <w:r>
        <w:rPr>
          <w:color w:val="auto"/>
          <w:sz w:val="21"/>
          <w:szCs w:val="21"/>
          <w:highlight w:val="none"/>
          <w:lang w:val="en-US" w:eastAsia="zh-CN"/>
        </w:rPr>
        <w:t>2.2.2</w:t>
      </w:r>
      <w:r>
        <w:rPr>
          <w:rFonts w:hint="eastAsia"/>
          <w:color w:val="auto"/>
          <w:sz w:val="21"/>
          <w:szCs w:val="21"/>
          <w:highlight w:val="none"/>
        </w:rPr>
        <w:t>项规定确定的价格。</w:t>
      </w:r>
    </w:p>
    <w:p>
      <w:pPr>
        <w:pStyle w:val="46"/>
        <w:keepNext/>
        <w:tabs>
          <w:tab w:val="left" w:pos="991"/>
        </w:tabs>
        <w:spacing w:line="360" w:lineRule="auto"/>
        <w:ind w:firstLine="420" w:firstLineChars="200"/>
        <w:rPr>
          <w:rFonts w:cs="Times New Roman"/>
          <w:color w:val="auto"/>
          <w:sz w:val="21"/>
          <w:szCs w:val="21"/>
          <w:highlight w:val="none"/>
        </w:rPr>
      </w:pPr>
      <w:bookmarkStart w:id="420" w:name="bookmark531"/>
      <w:bookmarkEnd w:id="420"/>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评审基准价计算方法：</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评审基准价计算方法的选择见评审办法前附表。</w:t>
      </w:r>
    </w:p>
    <w:p>
      <w:pPr>
        <w:pStyle w:val="5"/>
        <w:keepLines w:val="0"/>
        <w:spacing w:before="0" w:after="0" w:line="360" w:lineRule="auto"/>
        <w:ind w:firstLine="422" w:firstLineChars="200"/>
        <w:rPr>
          <w:rFonts w:ascii="宋体"/>
          <w:color w:val="auto"/>
          <w:sz w:val="21"/>
          <w:szCs w:val="21"/>
          <w:highlight w:val="none"/>
          <w:lang w:eastAsia="zh-CN"/>
        </w:rPr>
      </w:pPr>
      <w:bookmarkStart w:id="421" w:name="_Toc79479641"/>
      <w:bookmarkStart w:id="422" w:name="_Toc1395"/>
      <w:r>
        <w:rPr>
          <w:rFonts w:ascii="宋体" w:hAnsi="宋体" w:cs="宋体"/>
          <w:color w:val="auto"/>
          <w:sz w:val="21"/>
          <w:szCs w:val="21"/>
          <w:highlight w:val="none"/>
          <w:lang w:eastAsia="zh-CN"/>
        </w:rPr>
        <w:t xml:space="preserve">3.3 </w:t>
      </w:r>
      <w:r>
        <w:rPr>
          <w:rFonts w:hint="eastAsia" w:ascii="宋体" w:hAnsi="宋体" w:cs="宋体"/>
          <w:color w:val="auto"/>
          <w:sz w:val="21"/>
          <w:szCs w:val="21"/>
          <w:highlight w:val="none"/>
          <w:lang w:eastAsia="zh-CN"/>
        </w:rPr>
        <w:t>评分标准</w:t>
      </w:r>
      <w:bookmarkEnd w:id="421"/>
      <w:bookmarkEnd w:id="422"/>
    </w:p>
    <w:p>
      <w:pPr>
        <w:pStyle w:val="46"/>
        <w:keepNext/>
        <w:tabs>
          <w:tab w:val="left" w:pos="991"/>
        </w:tabs>
        <w:spacing w:line="360" w:lineRule="auto"/>
        <w:ind w:firstLine="420" w:firstLineChars="200"/>
        <w:rPr>
          <w:rFonts w:cs="Times New Roman"/>
          <w:color w:val="auto"/>
          <w:sz w:val="21"/>
          <w:szCs w:val="21"/>
          <w:highlight w:val="none"/>
        </w:rPr>
      </w:pPr>
      <w:bookmarkStart w:id="423" w:name="bookmark532"/>
      <w:bookmarkEnd w:id="423"/>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）技术评分</w:t>
      </w:r>
      <w:r>
        <w:rPr>
          <w:rFonts w:hint="eastAsia"/>
          <w:color w:val="auto"/>
          <w:sz w:val="21"/>
          <w:szCs w:val="21"/>
          <w:highlight w:val="none"/>
        </w:rPr>
        <w:t>：见评审办法前附表；</w:t>
      </w:r>
    </w:p>
    <w:p>
      <w:pPr>
        <w:pStyle w:val="46"/>
        <w:keepNext/>
        <w:tabs>
          <w:tab w:val="left" w:pos="991"/>
        </w:tabs>
        <w:spacing w:line="360" w:lineRule="auto"/>
        <w:ind w:firstLine="420" w:firstLineChars="200"/>
        <w:rPr>
          <w:rFonts w:cs="Times New Roman"/>
          <w:color w:val="auto"/>
          <w:sz w:val="21"/>
          <w:szCs w:val="21"/>
          <w:highlight w:val="none"/>
        </w:rPr>
      </w:pPr>
      <w:bookmarkStart w:id="424" w:name="bookmark533"/>
      <w:bookmarkEnd w:id="424"/>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）商务评分</w:t>
      </w:r>
      <w:r>
        <w:rPr>
          <w:rFonts w:hint="eastAsia"/>
          <w:color w:val="auto"/>
          <w:sz w:val="21"/>
          <w:szCs w:val="21"/>
          <w:highlight w:val="none"/>
        </w:rPr>
        <w:t>：见评审办法前附表；</w:t>
      </w:r>
    </w:p>
    <w:p>
      <w:pPr>
        <w:pStyle w:val="46"/>
        <w:keepNext/>
        <w:tabs>
          <w:tab w:val="left" w:pos="1026"/>
        </w:tabs>
        <w:spacing w:line="360" w:lineRule="auto"/>
        <w:ind w:firstLine="420" w:firstLineChars="200"/>
        <w:rPr>
          <w:rFonts w:cs="Times New Roman"/>
          <w:color w:val="auto"/>
          <w:sz w:val="21"/>
          <w:szCs w:val="21"/>
          <w:highlight w:val="none"/>
        </w:rPr>
      </w:pPr>
      <w:bookmarkStart w:id="425" w:name="bookmark534"/>
      <w:bookmarkEnd w:id="425"/>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报价评分标准：见评审办法前附表</w:t>
      </w:r>
    </w:p>
    <w:p>
      <w:pPr>
        <w:pStyle w:val="46"/>
        <w:keepNext/>
        <w:tabs>
          <w:tab w:val="left" w:pos="1026"/>
        </w:tabs>
        <w:spacing w:line="360" w:lineRule="auto"/>
        <w:ind w:firstLine="420" w:firstLineChars="200"/>
        <w:rPr>
          <w:rFonts w:cs="Times New Roman"/>
          <w:color w:val="auto"/>
          <w:sz w:val="21"/>
          <w:szCs w:val="21"/>
          <w:highlight w:val="none"/>
        </w:rPr>
      </w:pPr>
      <w:bookmarkStart w:id="426" w:name="bookmark537"/>
      <w:bookmarkEnd w:id="426"/>
      <w:r>
        <w:rPr>
          <w:rFonts w:hint="eastAsia"/>
          <w:color w:val="auto"/>
          <w:sz w:val="21"/>
          <w:szCs w:val="21"/>
          <w:highlight w:val="none"/>
          <w:lang w:eastAsia="zh-CN"/>
        </w:rPr>
        <w:t>（</w:t>
      </w:r>
      <w:r>
        <w:rPr>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其他因素评分标准：见评审办法前附表。</w:t>
      </w:r>
    </w:p>
    <w:p>
      <w:pPr>
        <w:pStyle w:val="5"/>
        <w:keepLines w:val="0"/>
        <w:spacing w:before="0" w:after="0" w:line="360" w:lineRule="auto"/>
        <w:ind w:firstLine="422" w:firstLineChars="200"/>
        <w:rPr>
          <w:rFonts w:ascii="宋体"/>
          <w:color w:val="auto"/>
          <w:sz w:val="21"/>
          <w:szCs w:val="21"/>
          <w:highlight w:val="none"/>
          <w:lang w:eastAsia="zh-CN"/>
        </w:rPr>
      </w:pPr>
      <w:bookmarkStart w:id="427" w:name="_Toc23225"/>
      <w:bookmarkStart w:id="428" w:name="_Toc79479642"/>
      <w:r>
        <w:rPr>
          <w:rFonts w:ascii="宋体" w:hAnsi="宋体" w:cs="宋体"/>
          <w:color w:val="auto"/>
          <w:sz w:val="21"/>
          <w:szCs w:val="21"/>
          <w:highlight w:val="none"/>
          <w:lang w:eastAsia="zh-CN"/>
        </w:rPr>
        <w:t xml:space="preserve">3.4 </w:t>
      </w:r>
      <w:r>
        <w:rPr>
          <w:rFonts w:hint="eastAsia" w:ascii="宋体" w:hAnsi="宋体" w:cs="宋体"/>
          <w:color w:val="auto"/>
          <w:sz w:val="21"/>
          <w:szCs w:val="21"/>
          <w:highlight w:val="none"/>
          <w:lang w:eastAsia="zh-CN"/>
        </w:rPr>
        <w:t>评分</w:t>
      </w:r>
      <w:bookmarkEnd w:id="427"/>
      <w:bookmarkEnd w:id="428"/>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评审</w:t>
      </w:r>
      <w:r>
        <w:rPr>
          <w:rFonts w:hint="eastAsia"/>
          <w:color w:val="auto"/>
          <w:sz w:val="21"/>
          <w:szCs w:val="21"/>
          <w:highlight w:val="none"/>
        </w:rPr>
        <w:t>小组成员按照评分标准独立对供应商的</w:t>
      </w:r>
      <w:r>
        <w:rPr>
          <w:rFonts w:hint="eastAsia"/>
          <w:color w:val="auto"/>
          <w:sz w:val="21"/>
          <w:szCs w:val="21"/>
          <w:highlight w:val="none"/>
          <w:lang w:eastAsia="zh-CN"/>
        </w:rPr>
        <w:t>技术评分标准</w:t>
      </w:r>
      <w:r>
        <w:rPr>
          <w:rFonts w:hint="eastAsia"/>
          <w:color w:val="auto"/>
          <w:sz w:val="21"/>
          <w:szCs w:val="21"/>
          <w:highlight w:val="none"/>
        </w:rPr>
        <w:t>、</w:t>
      </w:r>
      <w:r>
        <w:rPr>
          <w:rFonts w:hint="eastAsia"/>
          <w:color w:val="auto"/>
          <w:sz w:val="21"/>
          <w:szCs w:val="21"/>
          <w:highlight w:val="none"/>
          <w:lang w:eastAsia="zh-CN"/>
        </w:rPr>
        <w:t>供应商商务评分标准</w:t>
      </w:r>
      <w:r>
        <w:rPr>
          <w:rFonts w:hint="eastAsia"/>
          <w:color w:val="auto"/>
          <w:sz w:val="21"/>
          <w:szCs w:val="21"/>
          <w:highlight w:val="none"/>
        </w:rPr>
        <w:t>和其他因素进行评分。报价评分由</w:t>
      </w:r>
      <w:r>
        <w:rPr>
          <w:rFonts w:hint="eastAsia"/>
          <w:color w:val="auto"/>
          <w:sz w:val="21"/>
          <w:szCs w:val="21"/>
          <w:highlight w:val="none"/>
          <w:lang w:eastAsia="zh-CN"/>
        </w:rPr>
        <w:t>评审</w:t>
      </w:r>
      <w:r>
        <w:rPr>
          <w:rFonts w:hint="eastAsia"/>
          <w:color w:val="auto"/>
          <w:sz w:val="21"/>
          <w:szCs w:val="21"/>
          <w:highlight w:val="none"/>
        </w:rPr>
        <w:t>小组统一计算。各项得分汇总后为该成员给供应商的评分总分。评分分值计算保留小数点后两位，小数点后第三位</w:t>
      </w:r>
      <w:r>
        <w:rPr>
          <w:rFonts w:hint="eastAsia"/>
          <w:color w:val="auto"/>
          <w:sz w:val="21"/>
          <w:szCs w:val="21"/>
          <w:highlight w:val="none"/>
          <w:lang w:val="zh-CN" w:eastAsia="zh-CN"/>
        </w:rPr>
        <w:t>“四</w:t>
      </w:r>
      <w:r>
        <w:rPr>
          <w:rFonts w:hint="eastAsia"/>
          <w:color w:val="auto"/>
          <w:sz w:val="21"/>
          <w:szCs w:val="21"/>
          <w:highlight w:val="none"/>
        </w:rPr>
        <w:t>舍五入”。</w:t>
      </w:r>
    </w:p>
    <w:p>
      <w:pPr>
        <w:pStyle w:val="5"/>
        <w:keepLines w:val="0"/>
        <w:spacing w:before="0" w:after="0" w:line="360" w:lineRule="auto"/>
        <w:ind w:firstLine="422" w:firstLineChars="200"/>
        <w:rPr>
          <w:rFonts w:ascii="宋体"/>
          <w:color w:val="auto"/>
          <w:sz w:val="21"/>
          <w:szCs w:val="21"/>
          <w:highlight w:val="none"/>
          <w:lang w:eastAsia="zh-CN"/>
        </w:rPr>
      </w:pPr>
      <w:bookmarkStart w:id="429" w:name="_Toc115"/>
      <w:bookmarkStart w:id="430" w:name="_Toc79479643"/>
      <w:r>
        <w:rPr>
          <w:rFonts w:ascii="宋体" w:hAnsi="宋体" w:cs="宋体"/>
          <w:color w:val="auto"/>
          <w:sz w:val="21"/>
          <w:szCs w:val="21"/>
          <w:highlight w:val="none"/>
          <w:lang w:eastAsia="zh-CN"/>
        </w:rPr>
        <w:t xml:space="preserve">3.5 </w:t>
      </w:r>
      <w:r>
        <w:rPr>
          <w:rFonts w:hint="eastAsia" w:ascii="宋体" w:hAnsi="宋体" w:cs="宋体"/>
          <w:color w:val="auto"/>
          <w:sz w:val="21"/>
          <w:szCs w:val="21"/>
          <w:highlight w:val="none"/>
          <w:lang w:eastAsia="zh-CN"/>
        </w:rPr>
        <w:t>汇总</w:t>
      </w:r>
      <w:bookmarkEnd w:id="429"/>
      <w:bookmarkEnd w:id="430"/>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评审</w:t>
      </w:r>
      <w:r>
        <w:rPr>
          <w:rFonts w:hint="eastAsia"/>
          <w:color w:val="auto"/>
          <w:sz w:val="21"/>
          <w:szCs w:val="21"/>
          <w:highlight w:val="none"/>
        </w:rPr>
        <w:t>小组汇总每个成员对供应商的评分总分，每个供应商的评分总分的算术平均值为供应商最终得分。</w:t>
      </w:r>
    </w:p>
    <w:p>
      <w:pPr>
        <w:pStyle w:val="5"/>
        <w:keepLines w:val="0"/>
        <w:spacing w:before="0" w:after="0" w:line="360" w:lineRule="auto"/>
        <w:ind w:firstLine="422" w:firstLineChars="200"/>
        <w:rPr>
          <w:rFonts w:ascii="宋体"/>
          <w:color w:val="auto"/>
          <w:sz w:val="21"/>
          <w:szCs w:val="21"/>
          <w:highlight w:val="none"/>
          <w:lang w:eastAsia="zh-CN"/>
        </w:rPr>
      </w:pPr>
      <w:bookmarkStart w:id="431" w:name="_Toc79479644"/>
      <w:bookmarkStart w:id="432" w:name="_Toc32147"/>
      <w:r>
        <w:rPr>
          <w:rFonts w:ascii="宋体" w:hAnsi="宋体" w:cs="宋体"/>
          <w:color w:val="auto"/>
          <w:sz w:val="21"/>
          <w:szCs w:val="21"/>
          <w:highlight w:val="none"/>
          <w:lang w:eastAsia="zh-CN"/>
        </w:rPr>
        <w:t xml:space="preserve">3.6 </w:t>
      </w:r>
      <w:r>
        <w:rPr>
          <w:rFonts w:hint="eastAsia" w:ascii="宋体" w:hAnsi="宋体" w:cs="宋体"/>
          <w:color w:val="auto"/>
          <w:sz w:val="21"/>
          <w:szCs w:val="21"/>
          <w:highlight w:val="none"/>
          <w:lang w:eastAsia="zh-CN"/>
        </w:rPr>
        <w:t>排序</w:t>
      </w:r>
      <w:bookmarkEnd w:id="431"/>
      <w:bookmarkEnd w:id="432"/>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评审</w:t>
      </w:r>
      <w:r>
        <w:rPr>
          <w:rFonts w:hint="eastAsia"/>
          <w:color w:val="auto"/>
          <w:sz w:val="21"/>
          <w:szCs w:val="21"/>
          <w:highlight w:val="none"/>
        </w:rPr>
        <w:t>小组对供应商最终得分进行比较后，</w:t>
      </w:r>
      <w:r>
        <w:rPr>
          <w:rFonts w:hint="eastAsia"/>
          <w:color w:val="auto"/>
          <w:sz w:val="21"/>
          <w:szCs w:val="21"/>
          <w:highlight w:val="none"/>
          <w:lang w:eastAsia="zh-CN"/>
        </w:rPr>
        <w:t>可以</w:t>
      </w:r>
      <w:r>
        <w:rPr>
          <w:rFonts w:hint="eastAsia"/>
          <w:color w:val="auto"/>
          <w:sz w:val="21"/>
          <w:szCs w:val="21"/>
          <w:highlight w:val="none"/>
        </w:rPr>
        <w:t>按照供应商最终得分由高到低的顺序对供应商排序。最终得分相等时，以评审价格低的优先；评审价格也相等的，以技术得分高的优先；如果技术得分也相等，按照评审办法前附表的规定确定供应商优先顺序。</w:t>
      </w:r>
    </w:p>
    <w:p>
      <w:pPr>
        <w:pStyle w:val="5"/>
        <w:keepLines w:val="0"/>
        <w:spacing w:before="0" w:after="0" w:line="360" w:lineRule="auto"/>
        <w:ind w:firstLine="422" w:firstLineChars="200"/>
        <w:rPr>
          <w:rFonts w:ascii="宋体"/>
          <w:color w:val="auto"/>
          <w:sz w:val="21"/>
          <w:szCs w:val="21"/>
          <w:highlight w:val="none"/>
          <w:lang w:eastAsia="zh-CN"/>
        </w:rPr>
      </w:pPr>
      <w:bookmarkStart w:id="433" w:name="_Toc17725"/>
      <w:bookmarkStart w:id="434" w:name="_Toc24182"/>
      <w:bookmarkStart w:id="435" w:name="_Toc79479645"/>
      <w:r>
        <w:rPr>
          <w:rFonts w:ascii="宋体" w:hAnsi="宋体" w:cs="宋体"/>
          <w:color w:val="auto"/>
          <w:sz w:val="21"/>
          <w:szCs w:val="21"/>
          <w:highlight w:val="none"/>
          <w:lang w:eastAsia="zh-CN"/>
        </w:rPr>
        <w:t xml:space="preserve">3.7 </w:t>
      </w:r>
      <w:bookmarkEnd w:id="433"/>
      <w:r>
        <w:rPr>
          <w:rFonts w:hint="eastAsia" w:ascii="宋体" w:hAnsi="宋体" w:cs="宋体"/>
          <w:color w:val="auto"/>
          <w:sz w:val="21"/>
          <w:szCs w:val="21"/>
          <w:highlight w:val="none"/>
          <w:lang w:eastAsia="zh-CN"/>
        </w:rPr>
        <w:t>特殊情形处理</w:t>
      </w:r>
      <w:bookmarkEnd w:id="434"/>
      <w:bookmarkEnd w:id="435"/>
    </w:p>
    <w:p>
      <w:pPr>
        <w:pStyle w:val="46"/>
        <w:keepNext/>
        <w:spacing w:line="360" w:lineRule="auto"/>
        <w:ind w:firstLine="420" w:firstLineChars="200"/>
        <w:rPr>
          <w:rFonts w:cs="Times New Roman"/>
          <w:color w:val="auto"/>
          <w:sz w:val="21"/>
          <w:szCs w:val="21"/>
          <w:highlight w:val="none"/>
          <w:lang w:val="en-US" w:eastAsia="zh-CN"/>
        </w:rPr>
      </w:pPr>
      <w:r>
        <w:rPr>
          <w:rFonts w:hint="eastAsia"/>
          <w:color w:val="auto"/>
          <w:sz w:val="21"/>
          <w:szCs w:val="21"/>
          <w:highlight w:val="none"/>
          <w:lang w:eastAsia="zh-CN"/>
        </w:rPr>
        <w:t>当通过初步评审的供应商数量未超过询比采购公告</w:t>
      </w:r>
      <w:r>
        <w:rPr>
          <w:rFonts w:hint="eastAsia"/>
          <w:color w:val="auto"/>
          <w:sz w:val="21"/>
          <w:szCs w:val="21"/>
          <w:highlight w:val="none"/>
          <w:lang w:val="en-US" w:eastAsia="zh-CN"/>
        </w:rPr>
        <w:t>第</w:t>
      </w:r>
      <w:r>
        <w:rPr>
          <w:color w:val="auto"/>
          <w:sz w:val="21"/>
          <w:szCs w:val="21"/>
          <w:highlight w:val="none"/>
          <w:lang w:val="en-US" w:eastAsia="zh-CN"/>
        </w:rPr>
        <w:t>1.6</w:t>
      </w:r>
      <w:r>
        <w:rPr>
          <w:rFonts w:hint="eastAsia"/>
          <w:color w:val="auto"/>
          <w:sz w:val="21"/>
          <w:szCs w:val="21"/>
          <w:highlight w:val="none"/>
          <w:lang w:val="en-US" w:eastAsia="zh-CN"/>
        </w:rPr>
        <w:t>款规定的成交供应商数量、评审小组认为供应商的响应报价物有所值时，不再进行详细评审，直接推荐上述供应商为候选成交供应商。</w:t>
      </w:r>
    </w:p>
    <w:p>
      <w:pPr>
        <w:pStyle w:val="4"/>
        <w:keepLines w:val="0"/>
        <w:spacing w:before="0" w:after="0" w:line="360" w:lineRule="auto"/>
        <w:ind w:firstLine="422" w:firstLineChars="200"/>
        <w:rPr>
          <w:rFonts w:ascii="宋体"/>
          <w:color w:val="auto"/>
          <w:sz w:val="21"/>
          <w:szCs w:val="21"/>
          <w:highlight w:val="none"/>
          <w:lang w:eastAsia="zh-CN"/>
        </w:rPr>
      </w:pPr>
      <w:bookmarkStart w:id="436" w:name="_Toc26159"/>
      <w:bookmarkStart w:id="437" w:name="_Toc79479646"/>
      <w:bookmarkStart w:id="438" w:name="_Toc2422"/>
      <w:r>
        <w:rPr>
          <w:rFonts w:ascii="宋体" w:hAnsi="宋体" w:cs="宋体"/>
          <w:color w:val="auto"/>
          <w:sz w:val="21"/>
          <w:szCs w:val="21"/>
          <w:highlight w:val="none"/>
          <w:lang w:eastAsia="zh-CN"/>
        </w:rPr>
        <w:t xml:space="preserve">4 </w:t>
      </w:r>
      <w:r>
        <w:rPr>
          <w:rFonts w:hint="eastAsia" w:ascii="宋体" w:hAnsi="宋体" w:cs="宋体"/>
          <w:color w:val="auto"/>
          <w:sz w:val="21"/>
          <w:szCs w:val="21"/>
          <w:highlight w:val="none"/>
          <w:lang w:eastAsia="zh-CN"/>
        </w:rPr>
        <w:t>评审结果</w:t>
      </w:r>
      <w:bookmarkEnd w:id="436"/>
      <w:bookmarkEnd w:id="437"/>
      <w:bookmarkEnd w:id="438"/>
    </w:p>
    <w:p>
      <w:pPr>
        <w:pStyle w:val="5"/>
        <w:keepLines w:val="0"/>
        <w:spacing w:before="0" w:after="0" w:line="360" w:lineRule="auto"/>
        <w:ind w:firstLine="422" w:firstLineChars="200"/>
        <w:rPr>
          <w:rFonts w:ascii="宋体"/>
          <w:color w:val="auto"/>
          <w:sz w:val="21"/>
          <w:szCs w:val="21"/>
          <w:highlight w:val="none"/>
          <w:lang w:eastAsia="zh-CN"/>
        </w:rPr>
      </w:pPr>
      <w:bookmarkStart w:id="439" w:name="_Toc19808"/>
      <w:bookmarkStart w:id="440" w:name="_Toc79479647"/>
      <w:bookmarkStart w:id="441" w:name="_Toc23600"/>
      <w:r>
        <w:rPr>
          <w:rFonts w:ascii="宋体" w:hAnsi="宋体" w:cs="宋体"/>
          <w:color w:val="auto"/>
          <w:sz w:val="21"/>
          <w:szCs w:val="21"/>
          <w:highlight w:val="none"/>
          <w:lang w:eastAsia="zh-CN"/>
        </w:rPr>
        <w:t xml:space="preserve">4.1 </w:t>
      </w:r>
      <w:r>
        <w:rPr>
          <w:rFonts w:hint="eastAsia" w:ascii="宋体" w:hAnsi="宋体" w:cs="宋体"/>
          <w:color w:val="auto"/>
          <w:sz w:val="21"/>
          <w:szCs w:val="21"/>
          <w:highlight w:val="none"/>
          <w:lang w:eastAsia="zh-CN"/>
        </w:rPr>
        <w:t>提交书面评审报告</w:t>
      </w:r>
      <w:bookmarkEnd w:id="439"/>
      <w:bookmarkEnd w:id="440"/>
      <w:bookmarkEnd w:id="441"/>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评审</w:t>
      </w:r>
      <w:r>
        <w:rPr>
          <w:rFonts w:hint="eastAsia"/>
          <w:color w:val="auto"/>
          <w:sz w:val="21"/>
          <w:szCs w:val="21"/>
          <w:highlight w:val="none"/>
        </w:rPr>
        <w:t>小组完成评审后，应当向采购人递交书面评审报告。</w:t>
      </w:r>
    </w:p>
    <w:p>
      <w:pPr>
        <w:pStyle w:val="5"/>
        <w:keepLines w:val="0"/>
        <w:spacing w:before="0" w:after="0" w:line="360" w:lineRule="auto"/>
        <w:ind w:firstLine="422" w:firstLineChars="200"/>
        <w:rPr>
          <w:rFonts w:ascii="宋体"/>
          <w:color w:val="auto"/>
          <w:sz w:val="21"/>
          <w:szCs w:val="21"/>
          <w:highlight w:val="none"/>
          <w:lang w:eastAsia="zh-CN"/>
        </w:rPr>
      </w:pPr>
      <w:bookmarkStart w:id="442" w:name="_Toc29380"/>
      <w:bookmarkStart w:id="443" w:name="_Toc79479648"/>
      <w:bookmarkStart w:id="444" w:name="_Toc22950"/>
      <w:r>
        <w:rPr>
          <w:rFonts w:ascii="宋体" w:hAnsi="宋体" w:cs="宋体"/>
          <w:color w:val="auto"/>
          <w:sz w:val="21"/>
          <w:szCs w:val="21"/>
          <w:highlight w:val="none"/>
          <w:lang w:eastAsia="zh-CN"/>
        </w:rPr>
        <w:t xml:space="preserve">4.2 </w:t>
      </w:r>
      <w:r>
        <w:rPr>
          <w:rFonts w:hint="eastAsia" w:ascii="宋体" w:hAnsi="宋体" w:cs="宋体"/>
          <w:color w:val="auto"/>
          <w:sz w:val="21"/>
          <w:szCs w:val="21"/>
          <w:highlight w:val="none"/>
          <w:lang w:eastAsia="zh-CN"/>
        </w:rPr>
        <w:t>推荐候选成交供应商排序要求及数量</w:t>
      </w:r>
      <w:bookmarkEnd w:id="442"/>
      <w:bookmarkEnd w:id="443"/>
      <w:bookmarkEnd w:id="444"/>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评审</w:t>
      </w:r>
      <w:r>
        <w:rPr>
          <w:rFonts w:hint="eastAsia"/>
          <w:color w:val="auto"/>
          <w:sz w:val="21"/>
          <w:szCs w:val="21"/>
          <w:highlight w:val="none"/>
        </w:rPr>
        <w:t>小组应在书面评审报告中按照供应商排列的优先顺序向釆购人推荐候选成交供应商</w:t>
      </w:r>
      <w:r>
        <w:rPr>
          <w:color w:val="auto"/>
          <w:sz w:val="21"/>
          <w:szCs w:val="21"/>
          <w:highlight w:val="none"/>
        </w:rPr>
        <w:t>(</w:t>
      </w:r>
      <w:r>
        <w:rPr>
          <w:rFonts w:hint="eastAsia"/>
          <w:color w:val="auto"/>
          <w:sz w:val="21"/>
          <w:szCs w:val="21"/>
          <w:highlight w:val="none"/>
        </w:rPr>
        <w:t>排序或不排序</w:t>
      </w:r>
      <w:r>
        <w:rPr>
          <w:color w:val="auto"/>
          <w:sz w:val="21"/>
          <w:szCs w:val="21"/>
          <w:highlight w:val="none"/>
        </w:rPr>
        <w:t>)</w:t>
      </w:r>
      <w:r>
        <w:rPr>
          <w:rFonts w:hint="eastAsia"/>
          <w:color w:val="auto"/>
          <w:sz w:val="21"/>
          <w:szCs w:val="21"/>
          <w:highlight w:val="none"/>
        </w:rPr>
        <w:t>。候选成交供应商的排序要求及数量见第二章</w:t>
      </w:r>
      <w:r>
        <w:rPr>
          <w:rFonts w:hint="eastAsia"/>
          <w:color w:val="auto"/>
          <w:sz w:val="21"/>
          <w:szCs w:val="21"/>
          <w:highlight w:val="none"/>
          <w:lang w:val="zh-CN" w:eastAsia="zh-CN"/>
        </w:rPr>
        <w:t>“供</w:t>
      </w:r>
      <w:r>
        <w:rPr>
          <w:rFonts w:hint="eastAsia"/>
          <w:color w:val="auto"/>
          <w:sz w:val="21"/>
          <w:szCs w:val="21"/>
          <w:highlight w:val="none"/>
        </w:rPr>
        <w:t>应商须知”。</w:t>
      </w:r>
      <w:bookmarkStart w:id="445" w:name="bookmark539"/>
      <w:bookmarkStart w:id="446" w:name="bookmark538"/>
      <w:bookmarkStart w:id="447" w:name="bookmark540"/>
    </w:p>
    <w:p>
      <w:pPr>
        <w:pStyle w:val="4"/>
        <w:keepLines w:val="0"/>
        <w:spacing w:before="0" w:after="0" w:line="360" w:lineRule="auto"/>
        <w:ind w:firstLine="422" w:firstLineChars="200"/>
        <w:rPr>
          <w:rFonts w:ascii="宋体"/>
          <w:color w:val="auto"/>
          <w:sz w:val="21"/>
          <w:szCs w:val="21"/>
          <w:highlight w:val="none"/>
          <w:lang w:eastAsia="zh-CN"/>
        </w:rPr>
      </w:pPr>
      <w:bookmarkStart w:id="448" w:name="_Toc79479649"/>
      <w:bookmarkStart w:id="449" w:name="_Toc9456"/>
      <w:r>
        <w:rPr>
          <w:rFonts w:ascii="宋体" w:hAnsi="宋体" w:cs="宋体"/>
          <w:color w:val="auto"/>
          <w:sz w:val="21"/>
          <w:szCs w:val="21"/>
          <w:highlight w:val="none"/>
          <w:lang w:eastAsia="zh-CN"/>
        </w:rPr>
        <w:t xml:space="preserve">5 </w:t>
      </w:r>
      <w:r>
        <w:rPr>
          <w:rFonts w:hint="eastAsia" w:ascii="宋体" w:hAnsi="宋体" w:cs="宋体"/>
          <w:color w:val="auto"/>
          <w:sz w:val="21"/>
          <w:szCs w:val="21"/>
          <w:highlight w:val="none"/>
          <w:lang w:eastAsia="zh-CN"/>
        </w:rPr>
        <w:t>直接转换采购方式评审程序</w:t>
      </w:r>
      <w:bookmarkEnd w:id="448"/>
      <w:bookmarkEnd w:id="449"/>
    </w:p>
    <w:p>
      <w:pPr>
        <w:pStyle w:val="5"/>
        <w:keepLines w:val="0"/>
        <w:spacing w:before="0" w:after="0" w:line="360" w:lineRule="auto"/>
        <w:ind w:firstLine="422" w:firstLineChars="200"/>
        <w:rPr>
          <w:rFonts w:ascii="宋体"/>
          <w:color w:val="auto"/>
          <w:sz w:val="21"/>
          <w:szCs w:val="21"/>
          <w:highlight w:val="none"/>
          <w:lang w:eastAsia="zh-CN"/>
        </w:rPr>
      </w:pPr>
      <w:bookmarkStart w:id="450" w:name="_Toc79479650"/>
      <w:bookmarkStart w:id="451" w:name="_Toc1572"/>
      <w:r>
        <w:rPr>
          <w:rFonts w:ascii="宋体" w:hAnsi="宋体" w:cs="宋体"/>
          <w:color w:val="auto"/>
          <w:sz w:val="21"/>
          <w:szCs w:val="21"/>
          <w:highlight w:val="none"/>
          <w:lang w:eastAsia="zh-CN"/>
        </w:rPr>
        <w:t xml:space="preserve">5.1 </w:t>
      </w:r>
      <w:r>
        <w:rPr>
          <w:rFonts w:hint="eastAsia" w:ascii="宋体" w:hAnsi="宋体" w:cs="宋体"/>
          <w:color w:val="auto"/>
          <w:sz w:val="21"/>
          <w:szCs w:val="21"/>
          <w:highlight w:val="none"/>
          <w:lang w:eastAsia="zh-CN"/>
        </w:rPr>
        <w:t>初步评审</w:t>
      </w:r>
      <w:bookmarkEnd w:id="450"/>
      <w:bookmarkEnd w:id="451"/>
    </w:p>
    <w:p>
      <w:pPr>
        <w:pStyle w:val="46"/>
        <w:keepNext/>
        <w:spacing w:line="360" w:lineRule="auto"/>
        <w:ind w:firstLine="420" w:firstLineChars="200"/>
        <w:rPr>
          <w:rFonts w:cs="Times New Roman"/>
          <w:color w:val="auto"/>
          <w:sz w:val="21"/>
          <w:szCs w:val="21"/>
          <w:highlight w:val="none"/>
          <w:lang w:eastAsia="zh-CN"/>
        </w:rPr>
      </w:pPr>
      <w:r>
        <w:rPr>
          <w:color w:val="auto"/>
          <w:sz w:val="21"/>
          <w:szCs w:val="21"/>
          <w:highlight w:val="none"/>
          <w:lang w:eastAsia="zh-CN"/>
        </w:rPr>
        <w:t xml:space="preserve">5.1.1 </w:t>
      </w:r>
      <w:r>
        <w:rPr>
          <w:rFonts w:hint="eastAsia"/>
          <w:color w:val="auto"/>
          <w:sz w:val="21"/>
          <w:szCs w:val="21"/>
          <w:highlight w:val="none"/>
          <w:lang w:eastAsia="zh-CN"/>
        </w:rPr>
        <w:t>评审小组依据本章第</w:t>
      </w:r>
      <w:r>
        <w:rPr>
          <w:color w:val="auto"/>
          <w:sz w:val="21"/>
          <w:szCs w:val="21"/>
          <w:highlight w:val="none"/>
          <w:lang w:eastAsia="zh-CN"/>
        </w:rPr>
        <w:t>2.1</w:t>
      </w:r>
      <w:r>
        <w:rPr>
          <w:rFonts w:hint="eastAsia"/>
          <w:color w:val="auto"/>
          <w:sz w:val="21"/>
          <w:szCs w:val="21"/>
          <w:highlight w:val="none"/>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46"/>
        <w:keepNext/>
        <w:spacing w:line="360" w:lineRule="auto"/>
        <w:ind w:firstLine="420" w:firstLineChars="200"/>
        <w:rPr>
          <w:rFonts w:cs="Times New Roman"/>
          <w:color w:val="auto"/>
          <w:sz w:val="21"/>
          <w:szCs w:val="21"/>
          <w:highlight w:val="none"/>
          <w:lang w:eastAsia="zh-CN"/>
        </w:rPr>
      </w:pPr>
      <w:r>
        <w:rPr>
          <w:color w:val="auto"/>
          <w:sz w:val="21"/>
          <w:szCs w:val="21"/>
          <w:highlight w:val="none"/>
          <w:lang w:eastAsia="zh-CN"/>
        </w:rPr>
        <w:t xml:space="preserve">5.1.2 </w:t>
      </w:r>
      <w:r>
        <w:rPr>
          <w:rFonts w:hint="eastAsia"/>
          <w:color w:val="auto"/>
          <w:sz w:val="21"/>
          <w:szCs w:val="21"/>
          <w:highlight w:val="none"/>
          <w:lang w:eastAsia="zh-CN"/>
        </w:rPr>
        <w:t>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pPr>
        <w:pStyle w:val="46"/>
        <w:keepNext/>
        <w:spacing w:line="360" w:lineRule="auto"/>
        <w:ind w:firstLine="420" w:firstLineChars="200"/>
        <w:rPr>
          <w:rFonts w:cs="Times New Roman"/>
          <w:color w:val="auto"/>
          <w:sz w:val="21"/>
          <w:szCs w:val="21"/>
          <w:highlight w:val="none"/>
          <w:lang w:eastAsia="zh-CN"/>
        </w:rPr>
      </w:pPr>
      <w:r>
        <w:rPr>
          <w:color w:val="auto"/>
          <w:sz w:val="21"/>
          <w:szCs w:val="21"/>
          <w:highlight w:val="none"/>
          <w:lang w:eastAsia="zh-CN"/>
        </w:rPr>
        <w:t xml:space="preserve">5.1.3 </w:t>
      </w:r>
      <w:r>
        <w:rPr>
          <w:rFonts w:hint="eastAsia"/>
          <w:color w:val="auto"/>
          <w:sz w:val="21"/>
          <w:szCs w:val="21"/>
          <w:highlight w:val="none"/>
          <w:lang w:eastAsia="zh-CN"/>
        </w:rPr>
        <w:t>只有形式评审和资格评审合格且实质性响应釆购文件要求的供应商才可通过初步评审。经供应商澄清、说明和补正后仍未通过初步评审的响应文件将被视为无效</w:t>
      </w:r>
      <w:r>
        <w:rPr>
          <w:color w:val="auto"/>
          <w:sz w:val="21"/>
          <w:szCs w:val="21"/>
          <w:highlight w:val="none"/>
          <w:lang w:eastAsia="zh-CN"/>
        </w:rPr>
        <w:t>,</w:t>
      </w:r>
      <w:r>
        <w:rPr>
          <w:rFonts w:hint="eastAsia"/>
          <w:color w:val="auto"/>
          <w:sz w:val="21"/>
          <w:szCs w:val="21"/>
          <w:highlight w:val="none"/>
          <w:lang w:eastAsia="zh-CN"/>
        </w:rPr>
        <w:t>评审小组应告知有关供应商。</w:t>
      </w:r>
    </w:p>
    <w:p>
      <w:pPr>
        <w:pStyle w:val="46"/>
        <w:keepNext/>
        <w:spacing w:line="360" w:lineRule="auto"/>
        <w:ind w:firstLine="420" w:firstLineChars="200"/>
        <w:rPr>
          <w:rFonts w:cs="Times New Roman"/>
          <w:color w:val="auto"/>
          <w:sz w:val="21"/>
          <w:szCs w:val="21"/>
          <w:highlight w:val="none"/>
          <w:lang w:eastAsia="zh-CN"/>
        </w:rPr>
      </w:pPr>
      <w:r>
        <w:rPr>
          <w:color w:val="auto"/>
          <w:sz w:val="21"/>
          <w:szCs w:val="21"/>
          <w:highlight w:val="none"/>
          <w:lang w:eastAsia="zh-CN"/>
        </w:rPr>
        <w:t xml:space="preserve">5.1.4 </w:t>
      </w:r>
      <w:r>
        <w:rPr>
          <w:rFonts w:hint="eastAsia"/>
          <w:color w:val="auto"/>
          <w:sz w:val="21"/>
          <w:szCs w:val="21"/>
          <w:highlight w:val="none"/>
          <w:lang w:eastAsia="zh-CN"/>
        </w:rPr>
        <w:t>当通过初步评审的供应商数量大于询比釆购公告第</w:t>
      </w:r>
      <w:r>
        <w:rPr>
          <w:color w:val="auto"/>
          <w:sz w:val="21"/>
          <w:szCs w:val="21"/>
          <w:highlight w:val="none"/>
          <w:lang w:eastAsia="zh-CN"/>
        </w:rPr>
        <w:t>1.6</w:t>
      </w:r>
      <w:r>
        <w:rPr>
          <w:rFonts w:hint="eastAsia"/>
          <w:color w:val="auto"/>
          <w:sz w:val="21"/>
          <w:szCs w:val="21"/>
          <w:highlight w:val="none"/>
          <w:lang w:eastAsia="zh-CN"/>
        </w:rPr>
        <w:t>款规定的成交供应商数量时，可以改为参照谈判方式继续评审选择成交供应商。</w:t>
      </w:r>
    </w:p>
    <w:p>
      <w:pPr>
        <w:pStyle w:val="46"/>
        <w:keepNext/>
        <w:spacing w:line="360" w:lineRule="auto"/>
        <w:ind w:firstLine="420" w:firstLineChars="200"/>
        <w:rPr>
          <w:rFonts w:cs="Times New Roman"/>
          <w:color w:val="auto"/>
          <w:sz w:val="21"/>
          <w:szCs w:val="21"/>
          <w:highlight w:val="none"/>
          <w:lang w:eastAsia="zh-CN"/>
        </w:rPr>
      </w:pPr>
      <w:r>
        <w:rPr>
          <w:rFonts w:hint="eastAsia"/>
          <w:color w:val="auto"/>
          <w:sz w:val="21"/>
          <w:szCs w:val="21"/>
          <w:highlight w:val="none"/>
          <w:lang w:eastAsia="zh-CN"/>
        </w:rPr>
        <w:t>当通过初步评审的供应商数量等于询比采购公告第</w:t>
      </w:r>
      <w:r>
        <w:rPr>
          <w:color w:val="auto"/>
          <w:sz w:val="21"/>
          <w:szCs w:val="21"/>
          <w:highlight w:val="none"/>
          <w:lang w:eastAsia="zh-CN"/>
        </w:rPr>
        <w:t>1.6</w:t>
      </w:r>
      <w:r>
        <w:rPr>
          <w:rFonts w:hint="eastAsia"/>
          <w:color w:val="auto"/>
          <w:sz w:val="21"/>
          <w:szCs w:val="21"/>
          <w:highlight w:val="none"/>
          <w:lang w:eastAsia="zh-CN"/>
        </w:rPr>
        <w:t>款规定的成交供应商数量时，可以改为参照直接釆购方式继续评审选择成交供应商。</w:t>
      </w:r>
    </w:p>
    <w:p>
      <w:pPr>
        <w:pStyle w:val="46"/>
        <w:keepNext/>
        <w:spacing w:line="360" w:lineRule="auto"/>
        <w:ind w:firstLine="420" w:firstLineChars="200"/>
        <w:rPr>
          <w:rFonts w:cs="Times New Roman"/>
          <w:color w:val="auto"/>
          <w:sz w:val="21"/>
          <w:szCs w:val="21"/>
          <w:highlight w:val="none"/>
          <w:lang w:eastAsia="zh-CN"/>
        </w:rPr>
      </w:pPr>
      <w:r>
        <w:rPr>
          <w:rFonts w:hint="eastAsia"/>
          <w:color w:val="auto"/>
          <w:sz w:val="21"/>
          <w:szCs w:val="21"/>
          <w:highlight w:val="none"/>
          <w:lang w:eastAsia="zh-CN"/>
        </w:rPr>
        <w:t>当询比采购公告第</w:t>
      </w:r>
      <w:r>
        <w:rPr>
          <w:color w:val="auto"/>
          <w:sz w:val="21"/>
          <w:szCs w:val="21"/>
          <w:highlight w:val="none"/>
          <w:lang w:eastAsia="zh-CN"/>
        </w:rPr>
        <w:t>1.6</w:t>
      </w:r>
      <w:r>
        <w:rPr>
          <w:rFonts w:hint="eastAsia"/>
          <w:color w:val="auto"/>
          <w:sz w:val="21"/>
          <w:szCs w:val="21"/>
          <w:highlight w:val="none"/>
          <w:lang w:eastAsia="zh-CN"/>
        </w:rPr>
        <w:t>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pPr>
        <w:pStyle w:val="46"/>
        <w:keepNext/>
        <w:spacing w:line="360" w:lineRule="auto"/>
        <w:ind w:firstLine="420" w:firstLineChars="200"/>
        <w:rPr>
          <w:rFonts w:cs="Times New Roman"/>
          <w:color w:val="auto"/>
          <w:sz w:val="21"/>
          <w:szCs w:val="21"/>
          <w:highlight w:val="none"/>
          <w:lang w:eastAsia="zh-CN"/>
        </w:rPr>
      </w:pPr>
      <w:r>
        <w:rPr>
          <w:rFonts w:hint="eastAsia"/>
          <w:color w:val="auto"/>
          <w:sz w:val="21"/>
          <w:szCs w:val="21"/>
          <w:highlight w:val="none"/>
          <w:lang w:eastAsia="zh-CN"/>
        </w:rPr>
        <w:t>初步评审后，当所有响应文件均无效时，应重新组织采购。</w:t>
      </w:r>
    </w:p>
    <w:p>
      <w:pPr>
        <w:pStyle w:val="5"/>
        <w:keepLines w:val="0"/>
        <w:spacing w:before="0" w:after="0" w:line="360" w:lineRule="auto"/>
        <w:ind w:firstLine="422" w:firstLineChars="200"/>
        <w:rPr>
          <w:rFonts w:ascii="宋体"/>
          <w:color w:val="auto"/>
          <w:sz w:val="21"/>
          <w:szCs w:val="21"/>
          <w:highlight w:val="none"/>
          <w:lang w:eastAsia="zh-CN"/>
        </w:rPr>
      </w:pPr>
      <w:bookmarkStart w:id="452" w:name="_Toc12045"/>
      <w:bookmarkStart w:id="453" w:name="_Toc79479651"/>
      <w:r>
        <w:rPr>
          <w:rFonts w:ascii="宋体" w:hAnsi="宋体" w:cs="宋体"/>
          <w:color w:val="auto"/>
          <w:sz w:val="21"/>
          <w:szCs w:val="21"/>
          <w:highlight w:val="none"/>
          <w:lang w:eastAsia="zh-CN"/>
        </w:rPr>
        <w:t>5.2</w:t>
      </w:r>
      <w:r>
        <w:rPr>
          <w:rFonts w:hint="eastAsia" w:ascii="宋体" w:hAnsi="宋体" w:cs="宋体"/>
          <w:color w:val="auto"/>
          <w:sz w:val="21"/>
          <w:szCs w:val="21"/>
          <w:highlight w:val="none"/>
          <w:lang w:eastAsia="zh-CN"/>
        </w:rPr>
        <w:t>转换采购方式</w:t>
      </w:r>
      <w:bookmarkEnd w:id="452"/>
      <w:bookmarkEnd w:id="453"/>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5.2.</w:t>
      </w:r>
      <w:r>
        <w:rPr>
          <w:color w:val="auto"/>
          <w:sz w:val="21"/>
          <w:szCs w:val="21"/>
          <w:highlight w:val="none"/>
        </w:rPr>
        <w:t>1</w:t>
      </w:r>
      <w:r>
        <w:rPr>
          <w:rFonts w:hint="eastAsia"/>
          <w:color w:val="auto"/>
          <w:sz w:val="21"/>
          <w:szCs w:val="21"/>
          <w:highlight w:val="none"/>
        </w:rPr>
        <w:t>参照谈判采购方式评审</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谈判。</w:t>
      </w:r>
    </w:p>
    <w:p>
      <w:pPr>
        <w:pStyle w:val="46"/>
        <w:keepNext/>
        <w:tabs>
          <w:tab w:val="left" w:pos="862"/>
        </w:tabs>
        <w:spacing w:line="360" w:lineRule="auto"/>
        <w:ind w:firstLine="420" w:firstLineChars="200"/>
        <w:rPr>
          <w:rFonts w:cs="Times New Roman"/>
          <w:color w:val="auto"/>
          <w:sz w:val="21"/>
          <w:szCs w:val="21"/>
          <w:highlight w:val="none"/>
        </w:rPr>
      </w:pPr>
      <w:r>
        <w:rPr>
          <w:color w:val="auto"/>
          <w:sz w:val="21"/>
          <w:szCs w:val="21"/>
          <w:highlight w:val="none"/>
          <w:lang w:val="en-US" w:eastAsia="zh-CN"/>
        </w:rPr>
        <w:t>1</w:t>
      </w:r>
      <w:r>
        <w:rPr>
          <w:rFonts w:hint="eastAsia"/>
          <w:color w:val="auto"/>
          <w:sz w:val="21"/>
          <w:szCs w:val="21"/>
          <w:highlight w:val="none"/>
          <w:lang w:val="en-US" w:eastAsia="zh-CN"/>
        </w:rPr>
        <w:t>）</w:t>
      </w:r>
      <w:r>
        <w:rPr>
          <w:rFonts w:hint="eastAsia"/>
          <w:color w:val="auto"/>
          <w:sz w:val="21"/>
          <w:szCs w:val="21"/>
          <w:highlight w:val="none"/>
          <w:lang w:eastAsia="zh-CN"/>
        </w:rPr>
        <w:t>评</w:t>
      </w:r>
      <w:r>
        <w:rPr>
          <w:rFonts w:hint="eastAsia"/>
          <w:color w:val="auto"/>
          <w:sz w:val="21"/>
          <w:szCs w:val="21"/>
          <w:highlight w:val="none"/>
        </w:rPr>
        <w:t>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pPr>
        <w:pStyle w:val="46"/>
        <w:keepNext/>
        <w:tabs>
          <w:tab w:val="left" w:pos="862"/>
        </w:tabs>
        <w:spacing w:line="360" w:lineRule="auto"/>
        <w:ind w:firstLine="420" w:firstLineChars="200"/>
        <w:rPr>
          <w:rFonts w:cs="Times New Roman"/>
          <w:color w:val="auto"/>
          <w:sz w:val="21"/>
          <w:szCs w:val="21"/>
          <w:highlight w:val="none"/>
        </w:rPr>
      </w:pPr>
      <w:r>
        <w:rPr>
          <w:color w:val="auto"/>
          <w:sz w:val="21"/>
          <w:szCs w:val="21"/>
          <w:highlight w:val="none"/>
          <w:lang w:val="en-US" w:eastAsia="zh-CN"/>
        </w:rPr>
        <w:t>2</w:t>
      </w:r>
      <w:r>
        <w:rPr>
          <w:rFonts w:hint="eastAsia"/>
          <w:color w:val="auto"/>
          <w:sz w:val="21"/>
          <w:szCs w:val="21"/>
          <w:highlight w:val="none"/>
          <w:lang w:val="en-US" w:eastAsia="zh-CN"/>
        </w:rPr>
        <w:t>）</w:t>
      </w:r>
      <w:r>
        <w:rPr>
          <w:rFonts w:hint="eastAsia"/>
          <w:color w:val="auto"/>
          <w:sz w:val="21"/>
          <w:szCs w:val="21"/>
          <w:highlight w:val="none"/>
        </w:rPr>
        <w:t>供应商的法定代表人（单位负责人）或其授权的代理人应参加谈判。供应商的法定代表人（单位负责人）或其授权的代理人在谈判中作出的承诺构成响应文件的组成部分。</w:t>
      </w:r>
    </w:p>
    <w:p>
      <w:pPr>
        <w:pStyle w:val="46"/>
        <w:keepNext/>
        <w:tabs>
          <w:tab w:val="left" w:pos="862"/>
        </w:tabs>
        <w:spacing w:line="360" w:lineRule="auto"/>
        <w:ind w:firstLine="420" w:firstLineChars="200"/>
        <w:rPr>
          <w:rFonts w:cs="Times New Roman"/>
          <w:color w:val="auto"/>
          <w:sz w:val="21"/>
          <w:szCs w:val="21"/>
          <w:highlight w:val="none"/>
        </w:rPr>
      </w:pPr>
      <w:r>
        <w:rPr>
          <w:color w:val="auto"/>
          <w:sz w:val="21"/>
          <w:szCs w:val="21"/>
          <w:highlight w:val="none"/>
          <w:lang w:val="en-US" w:eastAsia="zh-CN"/>
        </w:rPr>
        <w:t>3</w:t>
      </w:r>
      <w:r>
        <w:rPr>
          <w:rFonts w:hint="eastAsia"/>
          <w:color w:val="auto"/>
          <w:sz w:val="21"/>
          <w:szCs w:val="21"/>
          <w:highlight w:val="none"/>
          <w:lang w:val="en-US" w:eastAsia="zh-CN"/>
        </w:rPr>
        <w:t>）</w:t>
      </w:r>
      <w:r>
        <w:rPr>
          <w:rFonts w:hint="eastAsia"/>
          <w:color w:val="auto"/>
          <w:sz w:val="21"/>
          <w:szCs w:val="21"/>
          <w:highlight w:val="none"/>
        </w:rPr>
        <w:t>谈判结束后，评审小组将要求所有参加谈判的供应商在规定时间内递交最终报价。最终报价应由供应商的法定代表人（单位负责人）或其授权的代理人签字或加盖单位章。最终报价是供应商响应文件的组成部分。</w:t>
      </w:r>
      <w:bookmarkStart w:id="454" w:name="bookmark1185"/>
      <w:bookmarkEnd w:id="454"/>
    </w:p>
    <w:p>
      <w:pPr>
        <w:pStyle w:val="46"/>
        <w:keepNext/>
        <w:tabs>
          <w:tab w:val="left" w:pos="862"/>
        </w:tabs>
        <w:spacing w:line="360" w:lineRule="auto"/>
        <w:ind w:firstLine="420" w:firstLineChars="200"/>
        <w:rPr>
          <w:rFonts w:cs="Times New Roman"/>
          <w:color w:val="auto"/>
          <w:sz w:val="21"/>
          <w:szCs w:val="21"/>
          <w:highlight w:val="none"/>
        </w:rPr>
      </w:pPr>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公开开启最终报价。</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评审小组将在递交最终报价的截止时间公开开启最终报价，供应商未派代表参加开启会议的，视为默认开启结果。</w:t>
      </w:r>
    </w:p>
    <w:p>
      <w:pPr>
        <w:pStyle w:val="46"/>
        <w:keepNext/>
        <w:tabs>
          <w:tab w:val="left" w:pos="1006"/>
        </w:tabs>
        <w:spacing w:line="360" w:lineRule="auto"/>
        <w:ind w:firstLine="420" w:firstLineChars="200"/>
        <w:rPr>
          <w:rFonts w:cs="Times New Roman"/>
          <w:color w:val="auto"/>
          <w:sz w:val="21"/>
          <w:szCs w:val="21"/>
          <w:highlight w:val="none"/>
        </w:rPr>
      </w:pPr>
      <w:bookmarkStart w:id="455" w:name="bookmark1186"/>
      <w:bookmarkEnd w:id="455"/>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详细评审。</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评审小组将按本章第</w:t>
      </w:r>
      <w:r>
        <w:rPr>
          <w:color w:val="auto"/>
          <w:sz w:val="21"/>
          <w:szCs w:val="21"/>
          <w:highlight w:val="none"/>
        </w:rPr>
        <w:t>3</w:t>
      </w:r>
      <w:r>
        <w:rPr>
          <w:rFonts w:hint="eastAsia"/>
          <w:color w:val="auto"/>
          <w:sz w:val="21"/>
          <w:szCs w:val="21"/>
          <w:highlight w:val="none"/>
        </w:rPr>
        <w:t>条规定对响应文件及其最终报价进行详细评审。采用综合评分法的，评审小组有权对本章第</w:t>
      </w:r>
      <w:r>
        <w:rPr>
          <w:color w:val="auto"/>
          <w:sz w:val="21"/>
          <w:szCs w:val="21"/>
          <w:highlight w:val="none"/>
          <w:lang w:val="en-US" w:eastAsia="zh-CN"/>
        </w:rPr>
        <w:t>3.</w:t>
      </w:r>
      <w:r>
        <w:rPr>
          <w:color w:val="auto"/>
          <w:sz w:val="21"/>
          <w:szCs w:val="21"/>
          <w:highlight w:val="none"/>
        </w:rPr>
        <w:t>2</w:t>
      </w:r>
      <w:r>
        <w:rPr>
          <w:rFonts w:hint="eastAsia"/>
          <w:color w:val="auto"/>
          <w:sz w:val="21"/>
          <w:szCs w:val="21"/>
          <w:highlight w:val="none"/>
        </w:rPr>
        <w:t>项规定的评审基准价和第</w:t>
      </w:r>
      <w:r>
        <w:rPr>
          <w:color w:val="auto"/>
          <w:sz w:val="21"/>
          <w:szCs w:val="21"/>
          <w:highlight w:val="none"/>
          <w:lang w:val="en-US" w:eastAsia="zh-CN"/>
        </w:rPr>
        <w:t>3.</w:t>
      </w:r>
      <w:r>
        <w:rPr>
          <w:color w:val="auto"/>
          <w:sz w:val="21"/>
          <w:szCs w:val="21"/>
          <w:highlight w:val="none"/>
        </w:rPr>
        <w:t>3(3)</w:t>
      </w:r>
      <w:r>
        <w:rPr>
          <w:rFonts w:hint="eastAsia"/>
          <w:color w:val="auto"/>
          <w:sz w:val="21"/>
          <w:szCs w:val="21"/>
          <w:highlight w:val="none"/>
        </w:rPr>
        <w:t>目规定的报价评分标准进行调整，但评审小组应在谈判开始前向供应商公布，未公布的，视为评审基准价和报价评分标准不作调整；详细评审标准中除报价评审标准外的其他评审标准不作调整。</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通过谈判后，评审小组认为所有供应商的最终报价仍然不合理的，应向釆购人提出终止采购建议。</w:t>
      </w:r>
    </w:p>
    <w:p>
      <w:pPr>
        <w:pStyle w:val="46"/>
        <w:keepNext/>
        <w:tabs>
          <w:tab w:val="left" w:pos="1006"/>
        </w:tabs>
        <w:spacing w:line="360" w:lineRule="auto"/>
        <w:ind w:firstLine="420" w:firstLineChars="200"/>
        <w:rPr>
          <w:rFonts w:cs="Times New Roman"/>
          <w:color w:val="auto"/>
          <w:sz w:val="21"/>
          <w:szCs w:val="21"/>
          <w:highlight w:val="none"/>
        </w:rPr>
      </w:pPr>
      <w:bookmarkStart w:id="456" w:name="bookmark1187"/>
      <w:bookmarkEnd w:id="456"/>
      <w:r>
        <w:rPr>
          <w:rFonts w:hint="eastAsia"/>
          <w:color w:val="auto"/>
          <w:sz w:val="21"/>
          <w:szCs w:val="21"/>
          <w:highlight w:val="none"/>
          <w:lang w:eastAsia="zh-CN"/>
        </w:rPr>
        <w:t>（</w:t>
      </w:r>
      <w:r>
        <w:rPr>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编写评审报告。</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评审小组按本章第</w:t>
      </w:r>
      <w:r>
        <w:rPr>
          <w:color w:val="auto"/>
          <w:sz w:val="21"/>
          <w:szCs w:val="21"/>
          <w:highlight w:val="none"/>
          <w:lang w:val="en-US" w:eastAsia="zh-CN"/>
        </w:rPr>
        <w:t>4.</w:t>
      </w:r>
      <w:r>
        <w:rPr>
          <w:color w:val="auto"/>
          <w:sz w:val="21"/>
          <w:szCs w:val="21"/>
          <w:highlight w:val="none"/>
        </w:rPr>
        <w:t>2</w:t>
      </w:r>
      <w:r>
        <w:rPr>
          <w:rFonts w:hint="eastAsia"/>
          <w:color w:val="auto"/>
          <w:sz w:val="21"/>
          <w:szCs w:val="21"/>
          <w:highlight w:val="none"/>
        </w:rPr>
        <w:t>款规定推荐候选成交供应商或按本章第</w:t>
      </w:r>
      <w:r>
        <w:rPr>
          <w:color w:val="auto"/>
          <w:sz w:val="21"/>
          <w:szCs w:val="21"/>
          <w:highlight w:val="none"/>
          <w:lang w:val="en-US" w:eastAsia="zh-CN"/>
        </w:rPr>
        <w:t>5.2.1</w:t>
      </w:r>
      <w:r>
        <w:rPr>
          <w:color w:val="auto"/>
          <w:sz w:val="21"/>
          <w:szCs w:val="21"/>
          <w:highlight w:val="none"/>
        </w:rPr>
        <w:t>(3)</w:t>
      </w:r>
      <w:r>
        <w:rPr>
          <w:rFonts w:hint="eastAsia"/>
          <w:color w:val="auto"/>
          <w:sz w:val="21"/>
          <w:szCs w:val="21"/>
          <w:highlight w:val="none"/>
        </w:rPr>
        <w:t>规定提出终止采购建议，并向采购人提交书面评审报告。</w:t>
      </w:r>
    </w:p>
    <w:p>
      <w:pPr>
        <w:pStyle w:val="46"/>
        <w:keepNext/>
        <w:spacing w:line="360" w:lineRule="auto"/>
        <w:ind w:firstLine="420" w:firstLineChars="200"/>
        <w:rPr>
          <w:rFonts w:cs="Times New Roman"/>
          <w:color w:val="auto"/>
          <w:sz w:val="21"/>
          <w:szCs w:val="21"/>
          <w:highlight w:val="none"/>
        </w:rPr>
      </w:pPr>
      <w:r>
        <w:rPr>
          <w:color w:val="auto"/>
          <w:sz w:val="21"/>
          <w:szCs w:val="21"/>
          <w:highlight w:val="none"/>
          <w:lang w:val="en-US" w:eastAsia="zh-CN"/>
        </w:rPr>
        <w:t xml:space="preserve">5.2.2 </w:t>
      </w:r>
      <w:r>
        <w:rPr>
          <w:rFonts w:hint="eastAsia"/>
          <w:color w:val="auto"/>
          <w:sz w:val="21"/>
          <w:szCs w:val="21"/>
          <w:highlight w:val="none"/>
        </w:rPr>
        <w:t>参照直接采购方式评审</w:t>
      </w:r>
    </w:p>
    <w:p>
      <w:pPr>
        <w:pStyle w:val="46"/>
        <w:keepNext/>
        <w:tabs>
          <w:tab w:val="left" w:pos="1002"/>
        </w:tabs>
        <w:spacing w:line="360" w:lineRule="auto"/>
        <w:ind w:firstLine="420" w:firstLineChars="200"/>
        <w:rPr>
          <w:rFonts w:cs="Times New Roman"/>
          <w:color w:val="auto"/>
          <w:sz w:val="21"/>
          <w:szCs w:val="21"/>
          <w:highlight w:val="none"/>
        </w:rPr>
      </w:pPr>
      <w:bookmarkStart w:id="457" w:name="bookmark1188"/>
      <w:bookmarkEnd w:id="457"/>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谈判。</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评审小组所有成员集中与供应商进行谈判，供应商的法定代表人</w:t>
      </w:r>
      <w:r>
        <w:rPr>
          <w:color w:val="auto"/>
          <w:sz w:val="21"/>
          <w:szCs w:val="21"/>
          <w:highlight w:val="none"/>
        </w:rPr>
        <w:t>(</w:t>
      </w:r>
      <w:r>
        <w:rPr>
          <w:rFonts w:hint="eastAsia"/>
          <w:color w:val="auto"/>
          <w:sz w:val="21"/>
          <w:szCs w:val="21"/>
          <w:highlight w:val="none"/>
        </w:rPr>
        <w:t>单位负责人</w:t>
      </w:r>
      <w:r>
        <w:rPr>
          <w:color w:val="auto"/>
          <w:sz w:val="21"/>
          <w:szCs w:val="21"/>
          <w:highlight w:val="none"/>
        </w:rPr>
        <w:t>)</w:t>
      </w:r>
      <w:r>
        <w:rPr>
          <w:rFonts w:hint="eastAsia"/>
          <w:color w:val="auto"/>
          <w:sz w:val="21"/>
          <w:szCs w:val="21"/>
          <w:highlight w:val="none"/>
        </w:rPr>
        <w:t>或其授权的代理人应参加谈判。在谈判过程中，评审小组可根据谈判情况修改和补充采购文件中的非实质性内容，但不得改变可能影响初步评审结果的内容。供应商的法定代表人</w:t>
      </w:r>
      <w:r>
        <w:rPr>
          <w:color w:val="auto"/>
          <w:sz w:val="21"/>
          <w:szCs w:val="21"/>
          <w:highlight w:val="none"/>
        </w:rPr>
        <w:t>(</w:t>
      </w:r>
      <w:r>
        <w:rPr>
          <w:rFonts w:hint="eastAsia"/>
          <w:color w:val="auto"/>
          <w:sz w:val="21"/>
          <w:szCs w:val="21"/>
          <w:highlight w:val="none"/>
        </w:rPr>
        <w:t>单位负责人或其授权的代理人</w:t>
      </w:r>
      <w:r>
        <w:rPr>
          <w:color w:val="auto"/>
          <w:sz w:val="21"/>
          <w:szCs w:val="21"/>
          <w:highlight w:val="none"/>
        </w:rPr>
        <w:t>)</w:t>
      </w:r>
      <w:r>
        <w:rPr>
          <w:rFonts w:hint="eastAsia"/>
          <w:color w:val="auto"/>
          <w:sz w:val="21"/>
          <w:szCs w:val="21"/>
          <w:highlight w:val="none"/>
        </w:rPr>
        <w:t>在谈判中作出的承诺构成响应文件的组成部分。评审小组可根据需要，安排多轮谈判。</w:t>
      </w:r>
    </w:p>
    <w:p>
      <w:pPr>
        <w:pStyle w:val="46"/>
        <w:keepNext/>
        <w:tabs>
          <w:tab w:val="left" w:pos="1006"/>
        </w:tabs>
        <w:spacing w:line="360" w:lineRule="auto"/>
        <w:ind w:firstLine="420" w:firstLineChars="200"/>
        <w:rPr>
          <w:rFonts w:cs="Times New Roman"/>
          <w:color w:val="auto"/>
          <w:sz w:val="21"/>
          <w:szCs w:val="21"/>
          <w:highlight w:val="none"/>
        </w:rPr>
      </w:pPr>
      <w:bookmarkStart w:id="458" w:name="bookmark1189"/>
      <w:bookmarkEnd w:id="458"/>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详细评审。</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评审小组通过</w:t>
      </w:r>
      <w:r>
        <w:rPr>
          <w:rFonts w:hint="eastAsia"/>
          <w:color w:val="auto"/>
          <w:sz w:val="21"/>
          <w:szCs w:val="21"/>
          <w:highlight w:val="none"/>
          <w:lang w:eastAsia="zh-CN"/>
        </w:rPr>
        <w:t>对</w:t>
      </w:r>
      <w:r>
        <w:rPr>
          <w:rFonts w:hint="eastAsia"/>
          <w:color w:val="auto"/>
          <w:sz w:val="21"/>
          <w:szCs w:val="21"/>
          <w:highlight w:val="none"/>
        </w:rPr>
        <w:t>采购成本、供应能力、风险管控、釆购目标等的分析，对供应商拟提供标的的</w:t>
      </w:r>
      <w:r>
        <w:rPr>
          <w:rFonts w:hint="eastAsia"/>
          <w:color w:val="auto"/>
          <w:sz w:val="21"/>
          <w:szCs w:val="21"/>
          <w:highlight w:val="none"/>
          <w:lang w:eastAsia="zh-CN"/>
        </w:rPr>
        <w:t>供应商的商务评分</w:t>
      </w:r>
      <w:r>
        <w:rPr>
          <w:rFonts w:hint="eastAsia"/>
          <w:color w:val="auto"/>
          <w:sz w:val="21"/>
          <w:szCs w:val="21"/>
          <w:highlight w:val="none"/>
        </w:rPr>
        <w:t>、</w:t>
      </w:r>
      <w:r>
        <w:rPr>
          <w:rFonts w:hint="eastAsia"/>
          <w:color w:val="auto"/>
          <w:sz w:val="21"/>
          <w:szCs w:val="21"/>
          <w:highlight w:val="none"/>
          <w:lang w:eastAsia="zh-CN"/>
        </w:rPr>
        <w:t>技术部分评分标准</w:t>
      </w:r>
      <w:r>
        <w:rPr>
          <w:rFonts w:hint="eastAsia"/>
          <w:color w:val="auto"/>
          <w:sz w:val="21"/>
          <w:szCs w:val="21"/>
          <w:highlight w:val="none"/>
        </w:rPr>
        <w:t>进行物有所值综合评价。</w:t>
      </w:r>
    </w:p>
    <w:p>
      <w:pPr>
        <w:pStyle w:val="46"/>
        <w:keepNext/>
        <w:tabs>
          <w:tab w:val="left" w:pos="1006"/>
        </w:tabs>
        <w:spacing w:line="360" w:lineRule="auto"/>
        <w:ind w:firstLine="420" w:firstLineChars="200"/>
        <w:rPr>
          <w:rFonts w:cs="Times New Roman"/>
          <w:color w:val="auto"/>
          <w:sz w:val="21"/>
          <w:szCs w:val="21"/>
          <w:highlight w:val="none"/>
        </w:rPr>
      </w:pPr>
      <w:bookmarkStart w:id="459" w:name="bookmark1190"/>
      <w:bookmarkEnd w:id="459"/>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编写评审报告。</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评审小组根据预期的谈判目标综合谈判纪要编写评审报告，推荐候选成交供应商或提出谈判终止建议。</w:t>
      </w:r>
      <w:bookmarkEnd w:id="445"/>
      <w:bookmarkEnd w:id="446"/>
      <w:bookmarkEnd w:id="447"/>
      <w:bookmarkStart w:id="460" w:name="bookmark541"/>
      <w:bookmarkStart w:id="461" w:name="bookmark542"/>
      <w:bookmarkStart w:id="462" w:name="bookmark543"/>
    </w:p>
    <w:p>
      <w:pPr>
        <w:pStyle w:val="46"/>
        <w:keepNext/>
        <w:spacing w:line="360" w:lineRule="auto"/>
        <w:ind w:firstLine="420" w:firstLineChars="200"/>
        <w:rPr>
          <w:rFonts w:cs="Times New Roman"/>
          <w:color w:val="auto"/>
          <w:sz w:val="52"/>
          <w:szCs w:val="52"/>
          <w:highlight w:val="none"/>
          <w:lang w:val="en-US" w:eastAsia="zh-CN"/>
        </w:rPr>
      </w:pPr>
      <w:r>
        <w:rPr>
          <w:rFonts w:cs="Times New Roman"/>
          <w:color w:val="auto"/>
          <w:sz w:val="21"/>
          <w:szCs w:val="21"/>
          <w:highlight w:val="none"/>
        </w:rPr>
        <w:br w:type="page"/>
      </w: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3"/>
        <w:keepLines w:val="0"/>
        <w:spacing w:line="240" w:lineRule="auto"/>
        <w:jc w:val="center"/>
        <w:rPr>
          <w:rFonts w:ascii="宋体" w:cs="宋体"/>
          <w:color w:val="auto"/>
          <w:sz w:val="52"/>
          <w:szCs w:val="52"/>
          <w:highlight w:val="none"/>
          <w:lang w:eastAsia="zh-CN"/>
        </w:rPr>
      </w:pPr>
      <w:bookmarkStart w:id="463" w:name="_Toc20340"/>
      <w:bookmarkStart w:id="464" w:name="_Toc79479652"/>
      <w:r>
        <w:rPr>
          <w:rFonts w:hint="eastAsia" w:ascii="宋体" w:hAnsi="宋体" w:cs="宋体"/>
          <w:color w:val="auto"/>
          <w:sz w:val="52"/>
          <w:szCs w:val="52"/>
          <w:highlight w:val="none"/>
          <w:lang w:eastAsia="zh-CN"/>
        </w:rPr>
        <w:t>第四章合同</w:t>
      </w:r>
      <w:bookmarkEnd w:id="463"/>
      <w:r>
        <w:rPr>
          <w:rFonts w:hint="eastAsia" w:ascii="宋体" w:hAnsi="宋体" w:cs="宋体"/>
          <w:color w:val="auto"/>
          <w:sz w:val="52"/>
          <w:szCs w:val="52"/>
          <w:highlight w:val="none"/>
          <w:lang w:eastAsia="zh-CN"/>
        </w:rPr>
        <w:t>条款及格式</w:t>
      </w:r>
      <w:bookmarkEnd w:id="464"/>
    </w:p>
    <w:p>
      <w:pPr>
        <w:jc w:val="center"/>
        <w:rPr>
          <w:color w:val="auto"/>
          <w:highlight w:val="none"/>
          <w:lang w:eastAsia="zh-CN"/>
        </w:rPr>
      </w:pPr>
      <w:r>
        <w:rPr>
          <w:rFonts w:hint="eastAsia"/>
          <w:color w:val="auto"/>
          <w:highlight w:val="none"/>
          <w:lang w:eastAsia="zh-CN"/>
        </w:rPr>
        <w:t>（合同条款仅供参考，具体以甲方审定为准）</w:t>
      </w:r>
    </w:p>
    <w:p>
      <w:pPr>
        <w:adjustRightInd w:val="0"/>
        <w:snapToGrid w:val="0"/>
        <w:spacing w:line="360" w:lineRule="auto"/>
        <w:rPr>
          <w:rFonts w:ascii="宋体" w:cs="宋体"/>
          <w:b/>
          <w:bCs/>
          <w:snapToGrid w:val="0"/>
          <w:color w:val="auto"/>
          <w:sz w:val="21"/>
          <w:szCs w:val="21"/>
          <w:highlight w:val="none"/>
          <w:lang w:eastAsia="zh-CN"/>
        </w:rPr>
      </w:pPr>
    </w:p>
    <w:p>
      <w:pPr>
        <w:pStyle w:val="13"/>
        <w:adjustRightInd w:val="0"/>
        <w:snapToGrid w:val="0"/>
        <w:spacing w:line="360" w:lineRule="auto"/>
        <w:ind w:hangingChars="199"/>
        <w:jc w:val="left"/>
        <w:rPr>
          <w:rFonts w:hAnsi="宋体"/>
          <w:color w:val="auto"/>
          <w:highlight w:val="none"/>
          <w:lang w:eastAsia="zh-CN"/>
        </w:rPr>
      </w:pPr>
      <w:r>
        <w:rPr>
          <w:b/>
          <w:color w:val="auto"/>
          <w:highlight w:val="none"/>
          <w:lang w:eastAsia="zh-CN"/>
        </w:rPr>
        <w:br w:type="page"/>
      </w:r>
      <w:r>
        <w:rPr>
          <w:rFonts w:hint="eastAsia" w:hAnsi="宋体"/>
          <w:color w:val="auto"/>
          <w:highlight w:val="none"/>
          <w:lang w:eastAsia="zh-CN"/>
        </w:rPr>
        <w:t xml:space="preserve">出卖人（供应商）：                                   合同编号：                       </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 xml:space="preserve">                                签订地点：                      </w:t>
      </w:r>
    </w:p>
    <w:p>
      <w:pPr>
        <w:pStyle w:val="13"/>
        <w:adjustRightInd w:val="0"/>
        <w:snapToGrid w:val="0"/>
        <w:spacing w:line="360" w:lineRule="auto"/>
        <w:ind w:left="0" w:firstLine="0"/>
        <w:jc w:val="left"/>
        <w:rPr>
          <w:rFonts w:hAnsi="宋体"/>
          <w:color w:val="auto"/>
          <w:highlight w:val="none"/>
          <w:lang w:eastAsia="zh-CN"/>
        </w:rPr>
      </w:pPr>
      <w:r>
        <w:rPr>
          <w:rFonts w:hint="eastAsia" w:hAnsi="宋体"/>
          <w:color w:val="auto"/>
          <w:highlight w:val="none"/>
          <w:lang w:eastAsia="zh-CN"/>
        </w:rPr>
        <w:t>买受人（采购人）：山西省轻工建设有限责任公司         签订时间：</w:t>
      </w:r>
      <w:r>
        <w:rPr>
          <w:rFonts w:hint="eastAsia" w:hAnsi="宋体"/>
          <w:color w:val="auto"/>
          <w:highlight w:val="none"/>
          <w:u w:val="single"/>
          <w:lang w:eastAsia="zh-CN"/>
        </w:rPr>
        <w:t xml:space="preserve">        年    月     日</w:t>
      </w:r>
    </w:p>
    <w:p>
      <w:pPr>
        <w:adjustRightInd w:val="0"/>
        <w:spacing w:line="400" w:lineRule="exact"/>
        <w:rPr>
          <w:rFonts w:ascii="宋体" w:hAnsi="宋体" w:cs="宋体"/>
          <w:b/>
          <w:bCs/>
          <w:szCs w:val="21"/>
          <w:highlight w:val="none"/>
          <w:lang w:eastAsia="zh-CN"/>
        </w:rPr>
      </w:pP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第一条  标的、数量、价款及交(提)货时间</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361"/>
        <w:gridCol w:w="726"/>
        <w:gridCol w:w="1389"/>
        <w:gridCol w:w="804"/>
        <w:gridCol w:w="646"/>
        <w:gridCol w:w="646"/>
        <w:gridCol w:w="840"/>
        <w:gridCol w:w="1022"/>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438" w:type="pct"/>
            <w:vAlign w:val="center"/>
          </w:tcPr>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序号</w:t>
            </w:r>
          </w:p>
        </w:tc>
        <w:tc>
          <w:tcPr>
            <w:tcW w:w="733" w:type="pct"/>
            <w:vAlign w:val="center"/>
          </w:tcPr>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标的</w:t>
            </w:r>
          </w:p>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名称</w:t>
            </w:r>
          </w:p>
        </w:tc>
        <w:tc>
          <w:tcPr>
            <w:tcW w:w="391" w:type="pct"/>
            <w:vAlign w:val="center"/>
          </w:tcPr>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牌号</w:t>
            </w:r>
          </w:p>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商标</w:t>
            </w:r>
          </w:p>
        </w:tc>
        <w:tc>
          <w:tcPr>
            <w:tcW w:w="748" w:type="pct"/>
            <w:vAlign w:val="center"/>
          </w:tcPr>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规格</w:t>
            </w:r>
          </w:p>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型号</w:t>
            </w:r>
          </w:p>
        </w:tc>
        <w:tc>
          <w:tcPr>
            <w:tcW w:w="433" w:type="pct"/>
            <w:vAlign w:val="center"/>
          </w:tcPr>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生产</w:t>
            </w:r>
          </w:p>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厂家</w:t>
            </w:r>
          </w:p>
        </w:tc>
        <w:tc>
          <w:tcPr>
            <w:tcW w:w="348" w:type="pct"/>
            <w:vAlign w:val="center"/>
          </w:tcPr>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计量</w:t>
            </w:r>
          </w:p>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单位</w:t>
            </w:r>
          </w:p>
        </w:tc>
        <w:tc>
          <w:tcPr>
            <w:tcW w:w="348" w:type="pct"/>
            <w:vAlign w:val="center"/>
          </w:tcPr>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数量</w:t>
            </w:r>
          </w:p>
        </w:tc>
        <w:tc>
          <w:tcPr>
            <w:tcW w:w="452" w:type="pct"/>
            <w:vAlign w:val="center"/>
          </w:tcPr>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单价</w:t>
            </w:r>
          </w:p>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(元)</w:t>
            </w:r>
          </w:p>
        </w:tc>
        <w:tc>
          <w:tcPr>
            <w:tcW w:w="550" w:type="pct"/>
            <w:vAlign w:val="center"/>
          </w:tcPr>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金额</w:t>
            </w:r>
          </w:p>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(元)</w:t>
            </w:r>
          </w:p>
        </w:tc>
        <w:tc>
          <w:tcPr>
            <w:tcW w:w="560" w:type="pct"/>
            <w:vAlign w:val="center"/>
          </w:tcPr>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交货</w:t>
            </w:r>
          </w:p>
          <w:p>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8" w:type="pct"/>
            <w:vAlign w:val="center"/>
          </w:tcPr>
          <w:p>
            <w:pPr>
              <w:spacing w:line="400" w:lineRule="exact"/>
              <w:jc w:val="center"/>
              <w:rPr>
                <w:rFonts w:ascii="宋体" w:hAnsi="宋体" w:cs="宋体"/>
                <w:sz w:val="21"/>
                <w:szCs w:val="21"/>
                <w:highlight w:val="none"/>
              </w:rPr>
            </w:pPr>
            <w:r>
              <w:rPr>
                <w:rFonts w:hint="eastAsia" w:ascii="宋体" w:hAnsi="宋体" w:cs="宋体"/>
                <w:sz w:val="21"/>
                <w:szCs w:val="21"/>
                <w:highlight w:val="none"/>
              </w:rPr>
              <w:t>1</w:t>
            </w:r>
          </w:p>
        </w:tc>
        <w:tc>
          <w:tcPr>
            <w:tcW w:w="733" w:type="pct"/>
            <w:vAlign w:val="center"/>
          </w:tcPr>
          <w:p>
            <w:pPr>
              <w:autoSpaceDE w:val="0"/>
              <w:autoSpaceDN w:val="0"/>
              <w:adjustRightInd w:val="0"/>
              <w:jc w:val="center"/>
              <w:rPr>
                <w:rFonts w:ascii="宋体" w:hAnsi="宋体" w:cs="宋体"/>
                <w:sz w:val="21"/>
                <w:szCs w:val="21"/>
                <w:highlight w:val="none"/>
                <w:lang w:eastAsia="zh-CN"/>
              </w:rPr>
            </w:pPr>
          </w:p>
        </w:tc>
        <w:tc>
          <w:tcPr>
            <w:tcW w:w="391" w:type="pct"/>
            <w:vAlign w:val="center"/>
          </w:tcPr>
          <w:p>
            <w:pPr>
              <w:spacing w:line="400" w:lineRule="exact"/>
              <w:jc w:val="center"/>
              <w:rPr>
                <w:rFonts w:ascii="宋体" w:hAnsi="宋体" w:cs="宋体"/>
                <w:sz w:val="21"/>
                <w:szCs w:val="21"/>
                <w:highlight w:val="none"/>
                <w:lang w:eastAsia="zh-CN"/>
              </w:rPr>
            </w:pPr>
          </w:p>
        </w:tc>
        <w:tc>
          <w:tcPr>
            <w:tcW w:w="748" w:type="pct"/>
            <w:vAlign w:val="center"/>
          </w:tcPr>
          <w:p>
            <w:pPr>
              <w:autoSpaceDE w:val="0"/>
              <w:autoSpaceDN w:val="0"/>
              <w:adjustRightInd w:val="0"/>
              <w:jc w:val="center"/>
              <w:rPr>
                <w:rFonts w:ascii="宋体" w:hAnsi="宋体" w:cs="宋体"/>
                <w:sz w:val="21"/>
                <w:szCs w:val="21"/>
                <w:highlight w:val="none"/>
              </w:rPr>
            </w:pPr>
          </w:p>
        </w:tc>
        <w:tc>
          <w:tcPr>
            <w:tcW w:w="433" w:type="pct"/>
            <w:vAlign w:val="center"/>
          </w:tcPr>
          <w:p>
            <w:pPr>
              <w:spacing w:line="400" w:lineRule="exact"/>
              <w:jc w:val="center"/>
              <w:rPr>
                <w:rFonts w:ascii="宋体" w:hAnsi="宋体" w:cs="宋体"/>
                <w:sz w:val="21"/>
                <w:szCs w:val="21"/>
                <w:highlight w:val="none"/>
              </w:rPr>
            </w:pPr>
          </w:p>
        </w:tc>
        <w:tc>
          <w:tcPr>
            <w:tcW w:w="348" w:type="pct"/>
            <w:vAlign w:val="center"/>
          </w:tcPr>
          <w:p>
            <w:pPr>
              <w:autoSpaceDE w:val="0"/>
              <w:autoSpaceDN w:val="0"/>
              <w:adjustRightInd w:val="0"/>
              <w:jc w:val="center"/>
              <w:rPr>
                <w:rFonts w:ascii="宋体" w:hAnsi="宋体" w:cs="宋体"/>
                <w:sz w:val="21"/>
                <w:szCs w:val="21"/>
                <w:highlight w:val="none"/>
              </w:rPr>
            </w:pPr>
          </w:p>
        </w:tc>
        <w:tc>
          <w:tcPr>
            <w:tcW w:w="348" w:type="pct"/>
            <w:vAlign w:val="center"/>
          </w:tcPr>
          <w:p>
            <w:pPr>
              <w:autoSpaceDE w:val="0"/>
              <w:autoSpaceDN w:val="0"/>
              <w:adjustRightInd w:val="0"/>
              <w:jc w:val="center"/>
              <w:rPr>
                <w:rFonts w:ascii="宋体" w:hAnsi="宋体" w:cs="宋体"/>
                <w:sz w:val="21"/>
                <w:szCs w:val="21"/>
                <w:highlight w:val="none"/>
                <w:lang w:eastAsia="zh-CN"/>
              </w:rPr>
            </w:pPr>
          </w:p>
        </w:tc>
        <w:tc>
          <w:tcPr>
            <w:tcW w:w="452" w:type="pct"/>
            <w:vAlign w:val="center"/>
          </w:tcPr>
          <w:p>
            <w:pPr>
              <w:autoSpaceDE w:val="0"/>
              <w:autoSpaceDN w:val="0"/>
              <w:adjustRightInd w:val="0"/>
              <w:jc w:val="center"/>
              <w:rPr>
                <w:rFonts w:ascii="宋体" w:hAnsi="宋体" w:cs="宋体"/>
                <w:sz w:val="21"/>
                <w:szCs w:val="21"/>
                <w:highlight w:val="none"/>
                <w:lang w:eastAsia="zh-CN"/>
              </w:rPr>
            </w:pPr>
          </w:p>
        </w:tc>
        <w:tc>
          <w:tcPr>
            <w:tcW w:w="550" w:type="pct"/>
            <w:vAlign w:val="center"/>
          </w:tcPr>
          <w:p>
            <w:pPr>
              <w:autoSpaceDE w:val="0"/>
              <w:autoSpaceDN w:val="0"/>
              <w:adjustRightInd w:val="0"/>
              <w:jc w:val="center"/>
              <w:rPr>
                <w:rFonts w:ascii="宋体" w:hAnsi="宋体" w:cs="宋体"/>
                <w:sz w:val="21"/>
                <w:szCs w:val="21"/>
                <w:highlight w:val="none"/>
              </w:rPr>
            </w:pPr>
          </w:p>
        </w:tc>
        <w:tc>
          <w:tcPr>
            <w:tcW w:w="560" w:type="pct"/>
            <w:vMerge w:val="restart"/>
            <w:vAlign w:val="center"/>
          </w:tcPr>
          <w:p>
            <w:pPr>
              <w:spacing w:line="400" w:lineRule="exact"/>
              <w:rPr>
                <w:rFonts w:ascii="宋体" w:hAnsi="宋体" w:cs="宋体"/>
                <w:color w:val="FF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8" w:type="pct"/>
            <w:vAlign w:val="center"/>
          </w:tcPr>
          <w:p>
            <w:pPr>
              <w:spacing w:line="400" w:lineRule="exact"/>
              <w:jc w:val="center"/>
              <w:rPr>
                <w:rFonts w:ascii="宋体" w:hAnsi="宋体" w:cs="宋体"/>
                <w:sz w:val="21"/>
                <w:szCs w:val="21"/>
                <w:highlight w:val="none"/>
                <w:lang w:eastAsia="zh-CN"/>
              </w:rPr>
            </w:pPr>
            <w:r>
              <w:rPr>
                <w:rFonts w:hint="eastAsia" w:ascii="宋体" w:hAnsi="宋体" w:cs="宋体"/>
                <w:sz w:val="21"/>
                <w:szCs w:val="21"/>
                <w:highlight w:val="none"/>
                <w:lang w:eastAsia="zh-CN"/>
              </w:rPr>
              <w:t>2</w:t>
            </w:r>
          </w:p>
        </w:tc>
        <w:tc>
          <w:tcPr>
            <w:tcW w:w="733" w:type="pct"/>
            <w:vAlign w:val="center"/>
          </w:tcPr>
          <w:p>
            <w:pPr>
              <w:autoSpaceDE w:val="0"/>
              <w:autoSpaceDN w:val="0"/>
              <w:adjustRightInd w:val="0"/>
              <w:jc w:val="center"/>
              <w:rPr>
                <w:rFonts w:ascii="宋体" w:hAnsi="宋体" w:cs="宋体"/>
                <w:sz w:val="21"/>
                <w:szCs w:val="21"/>
                <w:highlight w:val="none"/>
                <w:lang w:eastAsia="zh-CN"/>
              </w:rPr>
            </w:pPr>
          </w:p>
        </w:tc>
        <w:tc>
          <w:tcPr>
            <w:tcW w:w="391" w:type="pct"/>
            <w:vAlign w:val="center"/>
          </w:tcPr>
          <w:p>
            <w:pPr>
              <w:spacing w:line="400" w:lineRule="exact"/>
              <w:jc w:val="center"/>
              <w:rPr>
                <w:rFonts w:ascii="宋体" w:hAnsi="宋体" w:cs="宋体"/>
                <w:sz w:val="21"/>
                <w:szCs w:val="21"/>
                <w:highlight w:val="none"/>
                <w:lang w:eastAsia="zh-CN"/>
              </w:rPr>
            </w:pPr>
          </w:p>
        </w:tc>
        <w:tc>
          <w:tcPr>
            <w:tcW w:w="748" w:type="pct"/>
            <w:vAlign w:val="center"/>
          </w:tcPr>
          <w:p>
            <w:pPr>
              <w:autoSpaceDE w:val="0"/>
              <w:autoSpaceDN w:val="0"/>
              <w:adjustRightInd w:val="0"/>
              <w:jc w:val="center"/>
              <w:rPr>
                <w:rFonts w:ascii="宋体" w:hAnsi="宋体" w:cs="宋体"/>
                <w:sz w:val="21"/>
                <w:szCs w:val="21"/>
                <w:highlight w:val="none"/>
              </w:rPr>
            </w:pPr>
          </w:p>
        </w:tc>
        <w:tc>
          <w:tcPr>
            <w:tcW w:w="433" w:type="pct"/>
            <w:vAlign w:val="center"/>
          </w:tcPr>
          <w:p>
            <w:pPr>
              <w:spacing w:line="400" w:lineRule="exact"/>
              <w:jc w:val="center"/>
              <w:rPr>
                <w:rFonts w:ascii="宋体" w:hAnsi="宋体" w:cs="宋体"/>
                <w:sz w:val="21"/>
                <w:szCs w:val="21"/>
                <w:highlight w:val="none"/>
              </w:rPr>
            </w:pPr>
          </w:p>
        </w:tc>
        <w:tc>
          <w:tcPr>
            <w:tcW w:w="348" w:type="pct"/>
            <w:vAlign w:val="center"/>
          </w:tcPr>
          <w:p>
            <w:pPr>
              <w:autoSpaceDE w:val="0"/>
              <w:autoSpaceDN w:val="0"/>
              <w:adjustRightInd w:val="0"/>
              <w:jc w:val="center"/>
              <w:rPr>
                <w:rFonts w:ascii="宋体" w:hAnsi="宋体" w:cs="宋体"/>
                <w:sz w:val="21"/>
                <w:szCs w:val="21"/>
                <w:highlight w:val="none"/>
              </w:rPr>
            </w:pPr>
          </w:p>
        </w:tc>
        <w:tc>
          <w:tcPr>
            <w:tcW w:w="348" w:type="pct"/>
            <w:vAlign w:val="center"/>
          </w:tcPr>
          <w:p>
            <w:pPr>
              <w:autoSpaceDE w:val="0"/>
              <w:autoSpaceDN w:val="0"/>
              <w:adjustRightInd w:val="0"/>
              <w:jc w:val="center"/>
              <w:rPr>
                <w:rFonts w:ascii="宋体" w:hAnsi="宋体" w:cs="宋体"/>
                <w:sz w:val="21"/>
                <w:szCs w:val="21"/>
                <w:highlight w:val="none"/>
                <w:lang w:eastAsia="zh-CN"/>
              </w:rPr>
            </w:pPr>
          </w:p>
        </w:tc>
        <w:tc>
          <w:tcPr>
            <w:tcW w:w="452" w:type="pct"/>
            <w:vAlign w:val="center"/>
          </w:tcPr>
          <w:p>
            <w:pPr>
              <w:autoSpaceDE w:val="0"/>
              <w:autoSpaceDN w:val="0"/>
              <w:adjustRightInd w:val="0"/>
              <w:jc w:val="center"/>
              <w:rPr>
                <w:rFonts w:ascii="宋体" w:hAnsi="宋体" w:cs="宋体"/>
                <w:sz w:val="21"/>
                <w:szCs w:val="21"/>
                <w:highlight w:val="none"/>
                <w:lang w:eastAsia="zh-CN"/>
              </w:rPr>
            </w:pPr>
          </w:p>
        </w:tc>
        <w:tc>
          <w:tcPr>
            <w:tcW w:w="550" w:type="pct"/>
            <w:vAlign w:val="center"/>
          </w:tcPr>
          <w:p>
            <w:pPr>
              <w:autoSpaceDE w:val="0"/>
              <w:autoSpaceDN w:val="0"/>
              <w:adjustRightInd w:val="0"/>
              <w:jc w:val="center"/>
              <w:rPr>
                <w:rFonts w:ascii="宋体" w:hAnsi="宋体" w:cs="宋体"/>
                <w:sz w:val="21"/>
                <w:szCs w:val="21"/>
                <w:highlight w:val="none"/>
              </w:rPr>
            </w:pPr>
          </w:p>
        </w:tc>
        <w:tc>
          <w:tcPr>
            <w:tcW w:w="560" w:type="pct"/>
            <w:vMerge w:val="continue"/>
            <w:vAlign w:val="center"/>
          </w:tcPr>
          <w:p>
            <w:pPr>
              <w:spacing w:line="400" w:lineRule="exac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8" w:type="pct"/>
            <w:vAlign w:val="center"/>
          </w:tcPr>
          <w:p>
            <w:pPr>
              <w:spacing w:line="400" w:lineRule="exact"/>
              <w:jc w:val="center"/>
              <w:rPr>
                <w:rFonts w:ascii="宋体" w:hAnsi="宋体" w:cs="宋体"/>
                <w:sz w:val="21"/>
                <w:szCs w:val="21"/>
                <w:highlight w:val="none"/>
                <w:lang w:eastAsia="zh-CN"/>
              </w:rPr>
            </w:pPr>
            <w:r>
              <w:rPr>
                <w:rFonts w:hint="eastAsia" w:ascii="宋体" w:hAnsi="宋体" w:cs="宋体"/>
                <w:sz w:val="21"/>
                <w:szCs w:val="21"/>
                <w:highlight w:val="none"/>
                <w:lang w:eastAsia="zh-CN"/>
              </w:rPr>
              <w:t>3</w:t>
            </w:r>
          </w:p>
        </w:tc>
        <w:tc>
          <w:tcPr>
            <w:tcW w:w="733" w:type="pct"/>
            <w:vAlign w:val="center"/>
          </w:tcPr>
          <w:p>
            <w:pPr>
              <w:autoSpaceDE w:val="0"/>
              <w:autoSpaceDN w:val="0"/>
              <w:adjustRightInd w:val="0"/>
              <w:jc w:val="center"/>
              <w:rPr>
                <w:rFonts w:ascii="宋体" w:hAnsi="宋体" w:cs="宋体"/>
                <w:sz w:val="21"/>
                <w:szCs w:val="21"/>
                <w:highlight w:val="none"/>
                <w:lang w:eastAsia="zh-CN"/>
              </w:rPr>
            </w:pPr>
          </w:p>
        </w:tc>
        <w:tc>
          <w:tcPr>
            <w:tcW w:w="391" w:type="pct"/>
            <w:vAlign w:val="center"/>
          </w:tcPr>
          <w:p>
            <w:pPr>
              <w:spacing w:line="400" w:lineRule="exact"/>
              <w:jc w:val="center"/>
              <w:rPr>
                <w:rFonts w:ascii="宋体" w:hAnsi="宋体" w:cs="宋体"/>
                <w:sz w:val="21"/>
                <w:szCs w:val="21"/>
                <w:highlight w:val="none"/>
                <w:lang w:eastAsia="zh-CN"/>
              </w:rPr>
            </w:pPr>
          </w:p>
        </w:tc>
        <w:tc>
          <w:tcPr>
            <w:tcW w:w="748" w:type="pct"/>
            <w:vAlign w:val="center"/>
          </w:tcPr>
          <w:p>
            <w:pPr>
              <w:autoSpaceDE w:val="0"/>
              <w:autoSpaceDN w:val="0"/>
              <w:adjustRightInd w:val="0"/>
              <w:jc w:val="center"/>
              <w:rPr>
                <w:rFonts w:ascii="宋体" w:hAnsi="宋体" w:cs="宋体"/>
                <w:sz w:val="21"/>
                <w:szCs w:val="21"/>
                <w:highlight w:val="none"/>
              </w:rPr>
            </w:pPr>
          </w:p>
        </w:tc>
        <w:tc>
          <w:tcPr>
            <w:tcW w:w="433" w:type="pct"/>
            <w:vAlign w:val="center"/>
          </w:tcPr>
          <w:p>
            <w:pPr>
              <w:spacing w:line="400" w:lineRule="exact"/>
              <w:jc w:val="center"/>
              <w:rPr>
                <w:rFonts w:ascii="宋体" w:hAnsi="宋体" w:cs="宋体"/>
                <w:sz w:val="21"/>
                <w:szCs w:val="21"/>
                <w:highlight w:val="none"/>
              </w:rPr>
            </w:pPr>
          </w:p>
        </w:tc>
        <w:tc>
          <w:tcPr>
            <w:tcW w:w="348" w:type="pct"/>
            <w:vAlign w:val="center"/>
          </w:tcPr>
          <w:p>
            <w:pPr>
              <w:autoSpaceDE w:val="0"/>
              <w:autoSpaceDN w:val="0"/>
              <w:adjustRightInd w:val="0"/>
              <w:jc w:val="center"/>
              <w:rPr>
                <w:rFonts w:ascii="宋体" w:hAnsi="宋体" w:cs="宋体"/>
                <w:sz w:val="21"/>
                <w:szCs w:val="21"/>
                <w:highlight w:val="none"/>
              </w:rPr>
            </w:pPr>
          </w:p>
        </w:tc>
        <w:tc>
          <w:tcPr>
            <w:tcW w:w="348" w:type="pct"/>
            <w:vAlign w:val="center"/>
          </w:tcPr>
          <w:p>
            <w:pPr>
              <w:autoSpaceDE w:val="0"/>
              <w:autoSpaceDN w:val="0"/>
              <w:adjustRightInd w:val="0"/>
              <w:jc w:val="center"/>
              <w:rPr>
                <w:rFonts w:ascii="宋体" w:hAnsi="宋体" w:cs="宋体"/>
                <w:sz w:val="21"/>
                <w:szCs w:val="21"/>
                <w:highlight w:val="none"/>
                <w:lang w:eastAsia="zh-CN"/>
              </w:rPr>
            </w:pPr>
          </w:p>
        </w:tc>
        <w:tc>
          <w:tcPr>
            <w:tcW w:w="452" w:type="pct"/>
            <w:vAlign w:val="center"/>
          </w:tcPr>
          <w:p>
            <w:pPr>
              <w:autoSpaceDE w:val="0"/>
              <w:autoSpaceDN w:val="0"/>
              <w:adjustRightInd w:val="0"/>
              <w:jc w:val="center"/>
              <w:rPr>
                <w:rFonts w:ascii="宋体" w:hAnsi="宋体" w:cs="宋体"/>
                <w:sz w:val="21"/>
                <w:szCs w:val="21"/>
                <w:highlight w:val="none"/>
                <w:lang w:eastAsia="zh-CN"/>
              </w:rPr>
            </w:pPr>
          </w:p>
        </w:tc>
        <w:tc>
          <w:tcPr>
            <w:tcW w:w="550" w:type="pct"/>
            <w:vAlign w:val="center"/>
          </w:tcPr>
          <w:p>
            <w:pPr>
              <w:autoSpaceDE w:val="0"/>
              <w:autoSpaceDN w:val="0"/>
              <w:adjustRightInd w:val="0"/>
              <w:jc w:val="center"/>
              <w:rPr>
                <w:rFonts w:ascii="宋体" w:hAnsi="宋体" w:cs="宋体"/>
                <w:sz w:val="21"/>
                <w:szCs w:val="21"/>
                <w:highlight w:val="none"/>
              </w:rPr>
            </w:pPr>
          </w:p>
        </w:tc>
        <w:tc>
          <w:tcPr>
            <w:tcW w:w="560" w:type="pct"/>
            <w:vMerge w:val="continue"/>
            <w:vAlign w:val="center"/>
          </w:tcPr>
          <w:p>
            <w:pPr>
              <w:spacing w:line="400" w:lineRule="exac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91" w:type="pct"/>
            <w:gridSpan w:val="8"/>
            <w:vAlign w:val="center"/>
          </w:tcPr>
          <w:p>
            <w:pPr>
              <w:spacing w:line="400" w:lineRule="exact"/>
              <w:ind w:left="360"/>
              <w:rPr>
                <w:rFonts w:ascii="宋体" w:hAnsi="宋体" w:cs="宋体"/>
                <w:b/>
                <w:sz w:val="21"/>
                <w:szCs w:val="21"/>
                <w:highlight w:val="none"/>
              </w:rPr>
            </w:pPr>
            <w:r>
              <w:rPr>
                <w:rFonts w:hint="eastAsia" w:ascii="宋体" w:hAnsi="宋体" w:cs="宋体"/>
                <w:b/>
                <w:sz w:val="21"/>
                <w:szCs w:val="21"/>
                <w:highlight w:val="none"/>
              </w:rPr>
              <w:t>合    计（小写）</w:t>
            </w:r>
          </w:p>
        </w:tc>
        <w:tc>
          <w:tcPr>
            <w:tcW w:w="550" w:type="pct"/>
            <w:vAlign w:val="center"/>
          </w:tcPr>
          <w:p>
            <w:pPr>
              <w:spacing w:line="400" w:lineRule="exact"/>
              <w:jc w:val="center"/>
              <w:rPr>
                <w:rFonts w:ascii="宋体" w:hAnsi="宋体" w:cs="宋体"/>
                <w:sz w:val="21"/>
                <w:szCs w:val="21"/>
                <w:highlight w:val="none"/>
                <w:lang w:eastAsia="zh-CN"/>
              </w:rPr>
            </w:pPr>
          </w:p>
        </w:tc>
        <w:tc>
          <w:tcPr>
            <w:tcW w:w="560" w:type="pct"/>
            <w:vMerge w:val="continue"/>
          </w:tcPr>
          <w:p>
            <w:pPr>
              <w:spacing w:line="400" w:lineRule="exac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00" w:type="pct"/>
            <w:gridSpan w:val="10"/>
          </w:tcPr>
          <w:p>
            <w:pPr>
              <w:adjustRightInd w:val="0"/>
              <w:spacing w:line="400" w:lineRule="exact"/>
              <w:rPr>
                <w:rFonts w:ascii="宋体" w:hAnsi="宋体" w:cs="宋体"/>
                <w:sz w:val="21"/>
                <w:szCs w:val="21"/>
                <w:highlight w:val="none"/>
                <w:lang w:eastAsia="zh-CN"/>
              </w:rPr>
            </w:pPr>
            <w:r>
              <w:rPr>
                <w:rFonts w:hint="eastAsia" w:ascii="宋体" w:hAnsi="宋体" w:cs="宋体"/>
                <w:sz w:val="21"/>
                <w:szCs w:val="21"/>
                <w:highlight w:val="none"/>
                <w:lang w:eastAsia="zh-CN"/>
              </w:rPr>
              <w:t>合计人民币金额(含税）（大写)：(%增值税）</w:t>
            </w:r>
          </w:p>
        </w:tc>
      </w:tr>
    </w:tbl>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 xml:space="preserve">第二条  质量标准：按照 </w:t>
      </w:r>
      <w:r>
        <w:rPr>
          <w:rFonts w:hint="eastAsia" w:hAnsi="宋体"/>
          <w:color w:val="auto"/>
          <w:highlight w:val="none"/>
          <w:u w:val="single"/>
          <w:lang w:eastAsia="zh-CN"/>
        </w:rPr>
        <w:t>液压支架阀组等维修配件行业标准及双方签订的技术协议执行</w:t>
      </w:r>
      <w:r>
        <w:rPr>
          <w:rFonts w:hint="eastAsia" w:hAnsi="宋体"/>
          <w:color w:val="auto"/>
          <w:highlight w:val="none"/>
          <w:lang w:eastAsia="zh-CN"/>
        </w:rPr>
        <w:t>。</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第三条  出卖人对质量负责的条件和期限：出卖人按本合同及技术协议要求，对产品质量问题负全责，自产品验收合格使用正常之日起质保期壹年，质保期内存在质量问题的，质保期自出卖人更换、修复质量缺陷后重新计算。质保期届满后对仍在合理使用寿命内的产品，因设计、制造、材料等内在质量缺陷造成买受人损失的，买受人仍有权要求出卖人承担全部责任及损失。</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第四条  包装标准、包装物的供应与回收：符合国家包装标准及产品出厂标准；出卖人提供，不计费，不回收。</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第五条  附随的必备品、配件、工具数量及供应办法</w:t>
      </w:r>
      <w:r>
        <w:rPr>
          <w:rFonts w:hint="eastAsia" w:hAnsi="宋体"/>
          <w:color w:val="auto"/>
          <w:highlight w:val="none"/>
          <w:u w:val="single"/>
          <w:lang w:eastAsia="zh-CN"/>
        </w:rPr>
        <w:t>： 按技术协议及供货清单范围提供</w:t>
      </w:r>
      <w:r>
        <w:rPr>
          <w:rFonts w:hint="eastAsia" w:hAnsi="宋体"/>
          <w:color w:val="auto"/>
          <w:highlight w:val="none"/>
          <w:lang w:eastAsia="zh-CN"/>
        </w:rPr>
        <w:t>。</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 xml:space="preserve">第六条  合理损耗标准及计算方法：按 </w:t>
      </w:r>
      <w:r>
        <w:rPr>
          <w:rFonts w:hint="eastAsia" w:hAnsi="宋体"/>
          <w:color w:val="auto"/>
          <w:highlight w:val="none"/>
          <w:u w:val="single"/>
          <w:lang w:eastAsia="zh-CN"/>
        </w:rPr>
        <w:t>无</w:t>
      </w:r>
      <w:r>
        <w:rPr>
          <w:rFonts w:hint="eastAsia" w:hAnsi="宋体"/>
          <w:color w:val="auto"/>
          <w:highlight w:val="none"/>
          <w:lang w:eastAsia="zh-CN"/>
        </w:rPr>
        <w:t>计算。</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第七条  标的物所有权和毁损、灭失的风险自交付时转移。</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第八条  交货方式、地点和费用负担：出卖人以</w:t>
      </w:r>
      <w:r>
        <w:rPr>
          <w:rFonts w:hint="eastAsia" w:hAnsi="宋体"/>
          <w:color w:val="auto"/>
          <w:highlight w:val="none"/>
          <w:u w:val="single"/>
          <w:lang w:eastAsia="zh-CN"/>
        </w:rPr>
        <w:t xml:space="preserve"> 汽运</w:t>
      </w:r>
      <w:r>
        <w:rPr>
          <w:rFonts w:hint="eastAsia" w:hAnsi="宋体"/>
          <w:color w:val="auto"/>
          <w:highlight w:val="none"/>
          <w:lang w:eastAsia="zh-CN"/>
        </w:rPr>
        <w:t>方式运输送货至</w:t>
      </w:r>
      <w:r>
        <w:rPr>
          <w:rFonts w:hint="eastAsia" w:hAnsi="宋体"/>
          <w:color w:val="auto"/>
          <w:highlight w:val="none"/>
          <w:u w:val="single"/>
          <w:lang w:eastAsia="zh-CN"/>
        </w:rPr>
        <w:t>买受人指定地点</w:t>
      </w:r>
      <w:r>
        <w:rPr>
          <w:rFonts w:hint="eastAsia" w:hAnsi="宋体"/>
          <w:color w:val="auto"/>
          <w:highlight w:val="none"/>
          <w:lang w:eastAsia="zh-CN"/>
        </w:rPr>
        <w:t>，出卖人负担所有费用。</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第九条  验收标准、方法、地点及期限：由双方自交货之日起壹日内按本合同及技术协议要求在交货地点进行检验，出卖人须提供出厂产品检验合格证及办证需要的</w:t>
      </w:r>
      <w:r>
        <w:rPr>
          <w:rFonts w:hint="eastAsia" w:hAnsi="宋体"/>
          <w:color w:val="auto"/>
          <w:highlight w:val="none"/>
          <w:u w:val="single"/>
          <w:lang w:eastAsia="zh-CN"/>
        </w:rPr>
        <w:t>图纸、技术标准、使用说明书、保修手册</w:t>
      </w:r>
      <w:r>
        <w:rPr>
          <w:rFonts w:hint="eastAsia" w:hAnsi="宋体"/>
          <w:color w:val="auto"/>
          <w:highlight w:val="none"/>
          <w:lang w:eastAsia="zh-CN"/>
        </w:rPr>
        <w:t>等资料。出卖人未提交上述资料的，买受人有权拒收货物。验收如发生争议，由买受人指定的检测机构对产品进行检验，费用由出卖人承担。</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第十条  成套设备的安装与调试：出卖人负责免费安装、调试 。</w:t>
      </w:r>
    </w:p>
    <w:p>
      <w:pPr>
        <w:pStyle w:val="13"/>
        <w:adjustRightInd w:val="0"/>
        <w:snapToGrid w:val="0"/>
        <w:spacing w:line="360" w:lineRule="auto"/>
        <w:ind w:left="0" w:firstLine="420" w:firstLineChars="200"/>
        <w:jc w:val="left"/>
        <w:rPr>
          <w:rFonts w:hAnsi="宋体"/>
          <w:color w:val="auto"/>
          <w:highlight w:val="none"/>
          <w:u w:val="single"/>
          <w:lang w:eastAsia="zh-CN"/>
        </w:rPr>
      </w:pPr>
      <w:r>
        <w:rPr>
          <w:rFonts w:hint="eastAsia" w:hAnsi="宋体"/>
          <w:color w:val="auto"/>
          <w:highlight w:val="none"/>
          <w:lang w:eastAsia="zh-CN"/>
        </w:rPr>
        <w:t>第十一条  付款方式：</w:t>
      </w:r>
      <w:r>
        <w:rPr>
          <w:rFonts w:hint="eastAsia" w:hAnsi="宋体"/>
          <w:color w:val="auto"/>
          <w:highlight w:val="none"/>
          <w:lang w:eastAsia="zh-CN"/>
        </w:rPr>
        <w:t>货物到达买受方指定地点，买受方验收入库后，开具增值税专用发票挂账进入付款程序，质保金10%，质保期1年，付款视买受方资金情况支付。</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第十二条  国家调整税率时，出卖人以不含税价格为基础，按照国家调整后的税率开具相应的增值税专用发票，合同总价随之调整。因出卖人偷漏税款或开具发票不规范带来的任何损失，由出卖人承担。</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第十三条  担保方式（也可另立担保合同）：</w:t>
      </w:r>
      <w:r>
        <w:rPr>
          <w:rFonts w:hint="eastAsia" w:hAnsi="宋体"/>
          <w:color w:val="auto"/>
          <w:highlight w:val="none"/>
          <w:u w:val="single"/>
          <w:lang w:eastAsia="zh-CN"/>
        </w:rPr>
        <w:t xml:space="preserve">无                    </w:t>
      </w:r>
      <w:r>
        <w:rPr>
          <w:rFonts w:hint="eastAsia" w:hAnsi="宋体"/>
          <w:color w:val="auto"/>
          <w:highlight w:val="none"/>
          <w:lang w:eastAsia="zh-CN"/>
        </w:rPr>
        <w:t>。</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第十四条  违约责任：</w:t>
      </w:r>
      <w:r>
        <w:rPr>
          <w:rFonts w:hint="eastAsia" w:hAnsi="宋体"/>
          <w:color w:val="auto"/>
          <w:highlight w:val="none"/>
          <w:u w:val="single"/>
          <w:lang w:eastAsia="zh-CN"/>
        </w:rPr>
        <w:t>按《中华人民共和国民法典》执行</w:t>
      </w:r>
      <w:r>
        <w:rPr>
          <w:rFonts w:hint="eastAsia" w:hAnsi="宋体"/>
          <w:color w:val="auto"/>
          <w:highlight w:val="none"/>
          <w:lang w:eastAsia="zh-CN"/>
        </w:rPr>
        <w:t>。</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第十五条  合同争议的解决方式：本合同在履行过程中发生的争议，由双方当事人协商解决；协商不成的，依法向买受人所在地人民法院起诉。</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第十六条  本合同一式八份，双方各执</w:t>
      </w:r>
      <w:r>
        <w:rPr>
          <w:rFonts w:hint="eastAsia" w:hAnsi="宋体"/>
          <w:color w:val="auto"/>
          <w:highlight w:val="none"/>
          <w:u w:val="single"/>
          <w:lang w:eastAsia="zh-CN"/>
        </w:rPr>
        <w:t>四</w:t>
      </w:r>
      <w:r>
        <w:rPr>
          <w:rFonts w:hint="eastAsia" w:hAnsi="宋体"/>
          <w:color w:val="auto"/>
          <w:highlight w:val="none"/>
          <w:lang w:eastAsia="zh-CN"/>
        </w:rPr>
        <w:t>份，自双方法定代表人或授权代表签名并盖章之日起生效，技术协议、供货清单作为合同的组成部分，与本合同具有同等法律效力。</w:t>
      </w:r>
    </w:p>
    <w:p>
      <w:pPr>
        <w:pStyle w:val="13"/>
        <w:adjustRightInd w:val="0"/>
        <w:snapToGrid w:val="0"/>
        <w:spacing w:line="360" w:lineRule="auto"/>
        <w:ind w:left="0" w:firstLine="420" w:firstLineChars="200"/>
        <w:jc w:val="left"/>
        <w:rPr>
          <w:rFonts w:hAnsi="宋体"/>
          <w:color w:val="auto"/>
          <w:highlight w:val="none"/>
          <w:lang w:eastAsia="zh-CN"/>
        </w:rPr>
      </w:pPr>
      <w:r>
        <w:rPr>
          <w:rFonts w:hint="eastAsia" w:hAnsi="宋体"/>
          <w:color w:val="auto"/>
          <w:highlight w:val="none"/>
          <w:lang w:eastAsia="zh-CN"/>
        </w:rPr>
        <w:t>第十七条  其他约定事项：1</w:t>
      </w:r>
      <w:r>
        <w:rPr>
          <w:rFonts w:hint="eastAsia" w:hAnsi="宋体"/>
          <w:color w:val="auto"/>
          <w:highlight w:val="none"/>
          <w:u w:val="single"/>
          <w:lang w:eastAsia="zh-CN"/>
        </w:rPr>
        <w:t>、出卖人协助买受人取得其公司产品安标的认证，并为买受人提供培训及售后服务。2、安标取证费用由买受人支付。3、提供随机备品备件及工具</w:t>
      </w:r>
      <w:r>
        <w:rPr>
          <w:rFonts w:hint="eastAsia" w:hAnsi="宋体"/>
          <w:color w:val="auto"/>
          <w:highlight w:val="none"/>
          <w:lang w:eastAsia="zh-CN"/>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买受人 (盖章):</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法定代表人或授权代表（签名）：</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 xml:space="preserve">住所： </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税务登记号：</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 xml:space="preserve">开户银行： </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账号：</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邮政编码：</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经办人（签名）:</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联系电话：</w:t>
            </w:r>
          </w:p>
          <w:p>
            <w:pPr>
              <w:pStyle w:val="13"/>
              <w:adjustRightInd w:val="0"/>
              <w:snapToGrid w:val="0"/>
              <w:spacing w:line="360" w:lineRule="auto"/>
              <w:ind w:left="0" w:firstLine="0"/>
              <w:jc w:val="left"/>
              <w:rPr>
                <w:rFonts w:hAnsi="宋体" w:cs="Calibri"/>
                <w:color w:val="auto"/>
                <w:highlight w:val="none"/>
                <w:lang w:eastAsia="zh-CN"/>
              </w:rPr>
            </w:pPr>
            <w:r>
              <w:rPr>
                <w:rFonts w:hint="eastAsia" w:hAnsi="宋体" w:cs="宋体"/>
                <w:highlight w:val="none"/>
                <w:lang w:eastAsia="zh-CN"/>
              </w:rPr>
              <w:t>电子邮箱：</w:t>
            </w:r>
          </w:p>
        </w:tc>
        <w:tc>
          <w:tcPr>
            <w:tcW w:w="4644" w:type="dxa"/>
          </w:tcPr>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 xml:space="preserve">出卖人(盖章)： </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法定代表人或授权代表（签名）：</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 xml:space="preserve">住所： </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税务登记号：</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 xml:space="preserve">开户银行： </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账号：</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邮政编码：</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经办人（签名）:</w:t>
            </w:r>
          </w:p>
          <w:p>
            <w:pPr>
              <w:adjustRightInd w:val="0"/>
              <w:spacing w:line="400" w:lineRule="exact"/>
              <w:jc w:val="both"/>
              <w:rPr>
                <w:rFonts w:ascii="宋体" w:hAnsi="宋体" w:cs="宋体"/>
                <w:sz w:val="21"/>
                <w:szCs w:val="21"/>
                <w:highlight w:val="none"/>
                <w:lang w:eastAsia="zh-CN"/>
              </w:rPr>
            </w:pPr>
            <w:r>
              <w:rPr>
                <w:rFonts w:hint="eastAsia" w:ascii="宋体" w:hAnsi="宋体" w:cs="宋体"/>
                <w:sz w:val="21"/>
                <w:szCs w:val="21"/>
                <w:highlight w:val="none"/>
                <w:lang w:eastAsia="zh-CN"/>
              </w:rPr>
              <w:t>联系电话：</w:t>
            </w:r>
          </w:p>
          <w:p>
            <w:pPr>
              <w:pStyle w:val="13"/>
              <w:adjustRightInd w:val="0"/>
              <w:snapToGrid w:val="0"/>
              <w:spacing w:line="360" w:lineRule="auto"/>
              <w:ind w:left="0" w:firstLine="0"/>
              <w:jc w:val="left"/>
              <w:rPr>
                <w:rFonts w:hAnsi="宋体" w:cs="Calibri"/>
                <w:color w:val="auto"/>
                <w:highlight w:val="none"/>
                <w:lang w:eastAsia="zh-CN"/>
              </w:rPr>
            </w:pPr>
            <w:r>
              <w:rPr>
                <w:rFonts w:hint="eastAsia" w:hAnsi="宋体" w:cs="宋体"/>
                <w:highlight w:val="none"/>
                <w:lang w:eastAsia="zh-CN"/>
              </w:rPr>
              <w:t>电子邮箱：</w:t>
            </w:r>
          </w:p>
        </w:tc>
      </w:tr>
    </w:tbl>
    <w:p>
      <w:pPr>
        <w:pStyle w:val="13"/>
        <w:adjustRightInd w:val="0"/>
        <w:snapToGrid w:val="0"/>
        <w:spacing w:line="360" w:lineRule="auto"/>
        <w:ind w:left="0" w:firstLine="420" w:firstLineChars="200"/>
        <w:jc w:val="left"/>
        <w:rPr>
          <w:rFonts w:hAnsi="宋体"/>
          <w:color w:val="auto"/>
          <w:highlight w:val="none"/>
          <w:lang w:eastAsia="zh-CN"/>
        </w:rPr>
      </w:pPr>
    </w:p>
    <w:p>
      <w:pPr>
        <w:keepNext/>
        <w:widowControl/>
        <w:rPr>
          <w:rFonts w:ascii="宋体" w:cs="宋体"/>
          <w:color w:val="auto"/>
          <w:sz w:val="21"/>
          <w:szCs w:val="21"/>
          <w:highlight w:val="none"/>
          <w:lang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46"/>
        <w:keepNext/>
        <w:tabs>
          <w:tab w:val="left" w:pos="950"/>
          <w:tab w:val="left" w:pos="2150"/>
          <w:tab w:val="left" w:pos="3350"/>
        </w:tabs>
        <w:spacing w:line="360" w:lineRule="auto"/>
        <w:ind w:firstLine="0"/>
        <w:rPr>
          <w:rFonts w:cs="Times New Roman"/>
          <w:color w:val="auto"/>
          <w:sz w:val="52"/>
          <w:szCs w:val="52"/>
          <w:highlight w:val="none"/>
          <w:lang w:val="en-US" w:eastAsia="zh-CN"/>
        </w:rPr>
      </w:pPr>
    </w:p>
    <w:p>
      <w:pPr>
        <w:pStyle w:val="3"/>
        <w:keepLines w:val="0"/>
        <w:jc w:val="center"/>
        <w:rPr>
          <w:rFonts w:ascii="宋体"/>
          <w:color w:val="auto"/>
          <w:sz w:val="52"/>
          <w:szCs w:val="52"/>
          <w:highlight w:val="none"/>
          <w:lang w:eastAsia="zh-CN"/>
        </w:rPr>
      </w:pPr>
      <w:bookmarkStart w:id="465" w:name="_Toc79479656"/>
      <w:bookmarkStart w:id="466" w:name="_Toc15768"/>
      <w:r>
        <w:rPr>
          <w:rFonts w:hint="eastAsia" w:ascii="宋体" w:hAnsi="宋体" w:cs="宋体"/>
          <w:color w:val="auto"/>
          <w:sz w:val="52"/>
          <w:szCs w:val="52"/>
          <w:highlight w:val="none"/>
          <w:lang w:eastAsia="zh-CN"/>
        </w:rPr>
        <w:t>第五章采购需求</w:t>
      </w:r>
      <w:bookmarkEnd w:id="465"/>
      <w:bookmarkEnd w:id="466"/>
    </w:p>
    <w:p>
      <w:pPr>
        <w:keepNext/>
        <w:jc w:val="center"/>
        <w:rPr>
          <w:rFonts w:ascii="宋体"/>
          <w:color w:val="auto"/>
          <w:highlight w:val="none"/>
          <w:lang w:eastAsia="zh-CN"/>
        </w:rPr>
      </w:pPr>
    </w:p>
    <w:p>
      <w:pPr>
        <w:pStyle w:val="13"/>
        <w:numPr>
          <w:ilvl w:val="0"/>
          <w:numId w:val="3"/>
        </w:numPr>
        <w:adjustRightInd w:val="0"/>
        <w:snapToGrid w:val="0"/>
        <w:spacing w:line="360" w:lineRule="auto"/>
        <w:jc w:val="left"/>
        <w:rPr>
          <w:rFonts w:hAnsi="宋体" w:cs="宋体"/>
          <w:bCs/>
          <w:color w:val="auto"/>
          <w:highlight w:val="none"/>
          <w:lang w:eastAsia="zh-CN"/>
        </w:rPr>
      </w:pPr>
      <w:r>
        <w:rPr>
          <w:b/>
          <w:bCs/>
          <w:color w:val="auto"/>
          <w:sz w:val="28"/>
          <w:szCs w:val="28"/>
          <w:highlight w:val="none"/>
          <w:lang w:eastAsia="zh-CN"/>
        </w:rPr>
        <w:br w:type="page"/>
      </w:r>
      <w:bookmarkEnd w:id="460"/>
      <w:bookmarkEnd w:id="461"/>
      <w:bookmarkEnd w:id="462"/>
    </w:p>
    <w:p>
      <w:pPr>
        <w:pStyle w:val="13"/>
        <w:adjustRightInd w:val="0"/>
        <w:snapToGrid w:val="0"/>
        <w:spacing w:line="360" w:lineRule="auto"/>
        <w:ind w:left="421" w:firstLine="0"/>
        <w:jc w:val="center"/>
        <w:rPr>
          <w:rFonts w:hAnsi="宋体" w:cs="宋体"/>
          <w:b/>
          <w:bCs/>
          <w:color w:val="auto"/>
          <w:highlight w:val="none"/>
          <w:lang w:eastAsia="zh-CN"/>
        </w:rPr>
      </w:pPr>
      <w:r>
        <w:rPr>
          <w:rFonts w:hint="eastAsia" w:hAnsi="宋体" w:cs="宋体"/>
          <w:b/>
          <w:bCs/>
          <w:color w:val="auto"/>
          <w:highlight w:val="none"/>
          <w:lang w:eastAsia="zh-CN"/>
        </w:rPr>
        <w:t>液压支架阀组等维修配件采购技术要求</w:t>
      </w:r>
    </w:p>
    <w:p>
      <w:pPr>
        <w:adjustRightInd w:val="0"/>
        <w:spacing w:line="400" w:lineRule="exact"/>
        <w:ind w:firstLine="422" w:firstLineChars="200"/>
        <w:rPr>
          <w:rFonts w:ascii="宋体" w:hAnsi="宋体" w:cs="宋体"/>
          <w:b/>
          <w:sz w:val="21"/>
          <w:szCs w:val="21"/>
          <w:highlight w:val="none"/>
          <w:lang w:eastAsia="zh-CN"/>
        </w:rPr>
      </w:pPr>
      <w:bookmarkStart w:id="467" w:name="_Toc26164"/>
      <w:bookmarkStart w:id="468" w:name="_Toc79479657"/>
      <w:r>
        <w:rPr>
          <w:rFonts w:hint="eastAsia" w:ascii="宋体" w:hAnsi="宋体" w:cs="宋体"/>
          <w:b/>
          <w:sz w:val="21"/>
          <w:szCs w:val="21"/>
          <w:highlight w:val="none"/>
          <w:lang w:eastAsia="zh-CN"/>
        </w:rPr>
        <w:t>一、液压支架阀组等维修配件清单：</w:t>
      </w:r>
    </w:p>
    <w:tbl>
      <w:tblPr>
        <w:tblStyle w:val="26"/>
        <w:tblW w:w="5000" w:type="pct"/>
        <w:tblInd w:w="0" w:type="dxa"/>
        <w:tblLayout w:type="fixed"/>
        <w:tblCellMar>
          <w:top w:w="0" w:type="dxa"/>
          <w:left w:w="108" w:type="dxa"/>
          <w:bottom w:w="0" w:type="dxa"/>
          <w:right w:w="108" w:type="dxa"/>
        </w:tblCellMar>
      </w:tblPr>
      <w:tblGrid>
        <w:gridCol w:w="579"/>
        <w:gridCol w:w="947"/>
        <w:gridCol w:w="1289"/>
        <w:gridCol w:w="1926"/>
        <w:gridCol w:w="578"/>
        <w:gridCol w:w="578"/>
        <w:gridCol w:w="2376"/>
        <w:gridCol w:w="1014"/>
      </w:tblGrid>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18"/>
                <w:szCs w:val="18"/>
                <w:highlight w:val="none"/>
              </w:rPr>
            </w:pPr>
            <w:r>
              <w:rPr>
                <w:rFonts w:hint="eastAsia" w:ascii="宋体" w:hAnsi="宋体" w:cs="宋体"/>
                <w:b/>
                <w:bCs/>
                <w:sz w:val="18"/>
                <w:szCs w:val="18"/>
                <w:highlight w:val="none"/>
                <w:lang w:eastAsia="zh-CN"/>
              </w:rPr>
              <w:t>序号</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highlight w:val="none"/>
                <w:lang w:eastAsia="zh-CN"/>
              </w:rPr>
            </w:pPr>
            <w:r>
              <w:rPr>
                <w:rFonts w:hint="eastAsia" w:ascii="宋体" w:hAnsi="宋体" w:cs="宋体"/>
                <w:b/>
                <w:bCs/>
                <w:sz w:val="18"/>
                <w:szCs w:val="18"/>
                <w:highlight w:val="none"/>
                <w:lang w:eastAsia="zh-CN"/>
              </w:rPr>
              <w:t>采购类别</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18"/>
                <w:szCs w:val="18"/>
                <w:highlight w:val="none"/>
              </w:rPr>
            </w:pPr>
            <w:r>
              <w:rPr>
                <w:rFonts w:hint="eastAsia" w:ascii="宋体" w:hAnsi="宋体" w:cs="宋体"/>
                <w:b/>
                <w:bCs/>
                <w:sz w:val="18"/>
                <w:szCs w:val="18"/>
                <w:highlight w:val="none"/>
                <w:lang w:eastAsia="zh-CN"/>
              </w:rPr>
              <w:t>名称</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18"/>
                <w:szCs w:val="18"/>
                <w:highlight w:val="none"/>
              </w:rPr>
            </w:pPr>
            <w:r>
              <w:rPr>
                <w:rFonts w:hint="eastAsia" w:ascii="宋体" w:hAnsi="宋体" w:cs="宋体"/>
                <w:b/>
                <w:bCs/>
                <w:sz w:val="18"/>
                <w:szCs w:val="18"/>
                <w:highlight w:val="none"/>
                <w:lang w:eastAsia="zh-CN"/>
              </w:rPr>
              <w:t>规格</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18"/>
                <w:szCs w:val="18"/>
                <w:highlight w:val="none"/>
              </w:rPr>
            </w:pPr>
            <w:r>
              <w:rPr>
                <w:rFonts w:hint="eastAsia" w:ascii="宋体" w:hAnsi="宋体" w:cs="宋体"/>
                <w:b/>
                <w:bCs/>
                <w:sz w:val="18"/>
                <w:szCs w:val="18"/>
                <w:highlight w:val="none"/>
                <w:lang w:eastAsia="zh-CN"/>
              </w:rPr>
              <w:t>单位</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18"/>
                <w:szCs w:val="18"/>
                <w:highlight w:val="none"/>
              </w:rPr>
            </w:pPr>
            <w:r>
              <w:rPr>
                <w:rFonts w:hint="eastAsia" w:ascii="宋体" w:hAnsi="宋体" w:cs="宋体"/>
                <w:b/>
                <w:bCs/>
                <w:sz w:val="18"/>
                <w:szCs w:val="18"/>
                <w:highlight w:val="none"/>
                <w:lang w:eastAsia="zh-CN"/>
              </w:rPr>
              <w:t>数量</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18"/>
                <w:szCs w:val="18"/>
                <w:highlight w:val="none"/>
              </w:rPr>
            </w:pPr>
            <w:r>
              <w:rPr>
                <w:rFonts w:hint="eastAsia" w:ascii="宋体" w:hAnsi="宋体" w:cs="宋体"/>
                <w:b/>
                <w:bCs/>
                <w:sz w:val="18"/>
                <w:szCs w:val="18"/>
                <w:highlight w:val="none"/>
                <w:lang w:eastAsia="zh-CN"/>
              </w:rPr>
              <w:t>使用地点</w:t>
            </w:r>
          </w:p>
        </w:tc>
        <w:tc>
          <w:tcPr>
            <w:tcW w:w="54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highlight w:val="none"/>
              </w:rPr>
            </w:pPr>
            <w:r>
              <w:rPr>
                <w:rFonts w:hint="eastAsia"/>
                <w:b/>
                <w:bCs/>
                <w:sz w:val="18"/>
                <w:szCs w:val="18"/>
                <w:highlight w:val="none"/>
              </w:rPr>
              <w:t>备注</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主操纵阀组</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FHS400(3)/FHS200(6)</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133</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维修换自锁</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2</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副操纵阀组</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FHS200(3)</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133</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维修换自锁</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3</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液控单向阀组</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FYKZ-16(Y)Z</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518</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4</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液控单向阀</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YDF42/200(KJ13/16)</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110</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5</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液控单向阀</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YDF42/200(KJ10)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110</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6</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双向锁</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SSF4.00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148</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7</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喷水阀</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FYP-01-00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148</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8</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单向锁</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DSF</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103</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9</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回液三通断路阀</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HSHD19/B50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98</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10</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喷雾装置</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KJ13</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197</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11</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平面截止阀</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PJF13/25</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100</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w:t>
            </w:r>
          </w:p>
        </w:tc>
      </w:tr>
      <w:tr>
        <w:tblPrEx>
          <w:tblCellMar>
            <w:top w:w="0" w:type="dxa"/>
            <w:left w:w="108" w:type="dxa"/>
            <w:bottom w:w="0" w:type="dxa"/>
            <w:right w:w="108" w:type="dxa"/>
          </w:tblCellMar>
        </w:tblPrEx>
        <w:trPr>
          <w:trHeight w:val="397" w:hRule="exac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12</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rPr>
              <w:t>配件</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浮动双向锁</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SXSS10不锈钢</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rPr>
            </w:pPr>
            <w:r>
              <w:rPr>
                <w:rFonts w:hint="eastAsia" w:ascii="宋体" w:hAnsi="宋体" w:cs="宋体"/>
                <w:sz w:val="18"/>
                <w:szCs w:val="18"/>
                <w:highlight w:val="none"/>
                <w:lang w:eastAsia="zh-CN"/>
              </w:rPr>
              <w:t>100</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山西轻工机电设备维修基地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lang w:eastAsia="zh-CN"/>
              </w:rPr>
            </w:pPr>
            <w:r>
              <w:rPr>
                <w:rFonts w:hint="eastAsia" w:ascii="宋体" w:hAnsi="宋体" w:cs="宋体"/>
                <w:sz w:val="18"/>
                <w:szCs w:val="18"/>
                <w:highlight w:val="none"/>
                <w:lang w:eastAsia="zh-CN"/>
              </w:rPr>
              <w:t>维修</w:t>
            </w:r>
          </w:p>
        </w:tc>
      </w:tr>
    </w:tbl>
    <w:p>
      <w:pPr>
        <w:adjustRightInd w:val="0"/>
        <w:spacing w:line="400" w:lineRule="exact"/>
        <w:ind w:firstLine="422" w:firstLineChars="200"/>
        <w:rPr>
          <w:rFonts w:ascii="宋体" w:hAnsi="宋体" w:cs="宋体"/>
          <w:b/>
          <w:sz w:val="21"/>
          <w:szCs w:val="21"/>
          <w:highlight w:val="none"/>
          <w:lang w:eastAsia="zh-CN"/>
        </w:rPr>
      </w:pPr>
      <w:r>
        <w:rPr>
          <w:rFonts w:hint="eastAsia" w:ascii="宋体" w:hAnsi="宋体" w:cs="宋体"/>
          <w:b/>
          <w:sz w:val="21"/>
          <w:szCs w:val="21"/>
          <w:highlight w:val="none"/>
          <w:lang w:eastAsia="zh-CN"/>
        </w:rPr>
        <w:t>二、技术参数及技术要求</w:t>
      </w:r>
    </w:p>
    <w:p>
      <w:pPr>
        <w:pStyle w:val="46"/>
        <w:keepNext/>
        <w:spacing w:line="360" w:lineRule="auto"/>
        <w:rPr>
          <w:color w:val="auto"/>
          <w:sz w:val="21"/>
          <w:szCs w:val="21"/>
          <w:highlight w:val="none"/>
          <w:lang w:val="en-US" w:eastAsia="zh-CN"/>
        </w:rPr>
      </w:pPr>
      <w:r>
        <w:rPr>
          <w:rFonts w:hint="eastAsia"/>
          <w:color w:val="auto"/>
          <w:sz w:val="21"/>
          <w:szCs w:val="21"/>
          <w:highlight w:val="none"/>
          <w:lang w:val="en-US" w:eastAsia="zh-CN"/>
        </w:rPr>
        <w:t>(一)、配件符合以下标准</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参阅GB25974.1—2010《煤矿用液压支架第1部分：通用技术条件》；MT587-2011《液压支架结构件制造技术条件》；GB25974.3—2010《煤矿用液压支架第3部分：液压控制系统及阀》；MT/T1097-2008《煤矿机电设备检修技术规范》等标准。</w:t>
      </w:r>
    </w:p>
    <w:p>
      <w:pPr>
        <w:pStyle w:val="46"/>
        <w:keepNext/>
        <w:numPr>
          <w:ilvl w:val="0"/>
          <w:numId w:val="4"/>
        </w:numPr>
        <w:spacing w:line="360" w:lineRule="auto"/>
        <w:rPr>
          <w:color w:val="auto"/>
          <w:sz w:val="21"/>
          <w:szCs w:val="21"/>
          <w:highlight w:val="none"/>
          <w:lang w:val="en-US" w:eastAsia="zh-CN"/>
        </w:rPr>
      </w:pPr>
      <w:bookmarkStart w:id="469" w:name="_Toc343262282"/>
      <w:r>
        <w:rPr>
          <w:rFonts w:hint="eastAsia"/>
          <w:color w:val="auto"/>
          <w:sz w:val="21"/>
          <w:szCs w:val="21"/>
          <w:highlight w:val="none"/>
          <w:lang w:val="en-US" w:eastAsia="zh-CN"/>
        </w:rPr>
        <w:t>、技术要求</w:t>
      </w:r>
      <w:bookmarkEnd w:id="469"/>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1阀类的检修工作应在清洁的专用工作室内进行，拆、检后的零件应加遮盖。</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2检验用仪器、仪表与计量的精度和量程相适应，并满足国标中测量C级精度。采用直读式压力表时量程应为试验压力的140%～200%。</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3解体后各类阀的零部件，必须彻底清洗，所有孔道，退刀槽及螺纹孔底部均不得存有积垢、铁屑及其它杂物，除阀体外其它零件表面不准镀锌，须发黑或者发蓝处理（不锈钢件除外）。</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4阀上所有密封件，须更换新品。</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5各零部件有轻微损伤的螺纹可修复使用，新更换的零部件须除去毛刺。</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6 阀体及各零件修复后须符合以下要求：</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阀上所用各类弹簧，不得开裂，塑性变形不得大于5%。</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阀体各孔道表面，阀芯表面以及其它镀覆表面，镀层不得脱落和出现锈斑。</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阀体及各零部件不得有锈斑，裂纹，撞伤或变形等缺陷。阀体各口道符合技术要求。</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阀装配后，无论有压与无压，操纵应灵活，操纵力应符合该阀技术文件的规定。</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阀的定位要准确、可靠、稳定，定位指针要清晰。</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7电液控制阀的阀体内过滤器必须全部更换。</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8支架检修后的电液控制阀必须符合防爆要求。</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9标准件、外购件符合阀的配套要求，必须有合格证书，对入厂的标准件、外购件必须进行质量全检或抽检，并做记录。</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10各类阀组的修理，须按照原阀组的技术要求进行，不得随意更换零、部件，技术改造时，必须取得设计部门的认可。</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11 安全阀压力调定：</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流量小于16L/min的安全阀，其启溢压力最大值不得超过额定压力15%，最小值不得低于额定压力的90%；</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流量在16-32L/min的安全阀，其启溢压力最大值不得超过额定压力20%，最小值不得低于额定压力的90%；</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流量在32-100L/min的安全阀，按启溢压力最大值不得超过额定压力25%，最小值不得低于额定压力的90%。；</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大100L/min流量的安全阀，按设计要求。</w:t>
      </w:r>
    </w:p>
    <w:p>
      <w:pPr>
        <w:tabs>
          <w:tab w:val="left" w:pos="5173"/>
          <w:tab w:val="left" w:pos="8970"/>
        </w:tabs>
        <w:adjustRightInd w:val="0"/>
        <w:snapToGrid w:val="0"/>
        <w:spacing w:line="360" w:lineRule="auto"/>
        <w:ind w:firstLine="422" w:firstLineChars="200"/>
        <w:jc w:val="both"/>
        <w:rPr>
          <w:rFonts w:ascii="宋体" w:hAnsi="宋体" w:cs="宋体"/>
          <w:b/>
          <w:snapToGrid w:val="0"/>
          <w:sz w:val="21"/>
          <w:szCs w:val="21"/>
          <w:highlight w:val="none"/>
          <w:lang w:eastAsia="zh-CN"/>
        </w:rPr>
      </w:pPr>
      <w:r>
        <w:rPr>
          <w:rFonts w:hint="eastAsia" w:ascii="宋体" w:hAnsi="宋体" w:cs="宋体"/>
          <w:b/>
          <w:snapToGrid w:val="0"/>
          <w:sz w:val="21"/>
          <w:szCs w:val="21"/>
          <w:highlight w:val="none"/>
          <w:lang w:eastAsia="zh-CN"/>
        </w:rPr>
        <w:t>三、服务与保修</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6.1卖方应派遣技术熟练、称职的技术人员到施工场地为买方提供技术服务。卖方的技术服务应符合合同的约定。</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6.2买方应免费为卖方技术人员提供工作条件及便利，包括但不限于必要的办公场所、技术资料及出入许可等。除专用合同条款另有约定外，卖方技术人员的交通、食宿费用由卖方承担。</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6.3卖方技术人员应遵守买方施工现场的各项规章制度和安全操作规程，并服从买方的现场管理。</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6.4如果任何技术人员不合格，买方有权要求卖方撤换，因撤换而产生的费用应由卖方承担。在不影响技术服务并且征得买方同意的条件下，卖方也可自负费用更换其技术人员。</w:t>
      </w:r>
    </w:p>
    <w:p>
      <w:pPr>
        <w:tabs>
          <w:tab w:val="left" w:pos="5173"/>
          <w:tab w:val="left" w:pos="8970"/>
        </w:tabs>
        <w:adjustRightInd w:val="0"/>
        <w:snapToGrid w:val="0"/>
        <w:spacing w:line="360" w:lineRule="auto"/>
        <w:ind w:firstLine="422" w:firstLineChars="200"/>
        <w:jc w:val="both"/>
        <w:rPr>
          <w:rFonts w:ascii="宋体" w:hAnsi="宋体" w:cs="宋体"/>
          <w:b/>
          <w:snapToGrid w:val="0"/>
          <w:sz w:val="21"/>
          <w:szCs w:val="21"/>
          <w:highlight w:val="none"/>
          <w:lang w:eastAsia="zh-CN"/>
        </w:rPr>
      </w:pPr>
      <w:r>
        <w:rPr>
          <w:rFonts w:hint="eastAsia" w:ascii="宋体" w:hAnsi="宋体" w:cs="宋体"/>
          <w:b/>
          <w:snapToGrid w:val="0"/>
          <w:sz w:val="21"/>
          <w:szCs w:val="21"/>
          <w:highlight w:val="none"/>
          <w:lang w:eastAsia="zh-CN"/>
        </w:rPr>
        <w:t>四、交货时间及地点</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交货期：合同签订后15日内。</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交货地点：采购人指定地点。</w:t>
      </w:r>
    </w:p>
    <w:p>
      <w:pPr>
        <w:tabs>
          <w:tab w:val="left" w:pos="5173"/>
          <w:tab w:val="left" w:pos="8970"/>
        </w:tabs>
        <w:adjustRightInd w:val="0"/>
        <w:snapToGrid w:val="0"/>
        <w:spacing w:line="360" w:lineRule="auto"/>
        <w:ind w:firstLine="422" w:firstLineChars="200"/>
        <w:jc w:val="both"/>
        <w:rPr>
          <w:rFonts w:ascii="宋体" w:hAnsi="宋体" w:cs="宋体"/>
          <w:b/>
          <w:snapToGrid w:val="0"/>
          <w:sz w:val="21"/>
          <w:szCs w:val="21"/>
          <w:highlight w:val="none"/>
          <w:lang w:eastAsia="zh-CN"/>
        </w:rPr>
      </w:pPr>
      <w:r>
        <w:rPr>
          <w:rFonts w:hint="eastAsia" w:ascii="宋体" w:hAnsi="宋体" w:cs="宋体"/>
          <w:b/>
          <w:snapToGrid w:val="0"/>
          <w:sz w:val="21"/>
          <w:szCs w:val="21"/>
          <w:highlight w:val="none"/>
          <w:lang w:eastAsia="zh-CN"/>
        </w:rPr>
        <w:t>五、付款方式</w:t>
      </w:r>
    </w:p>
    <w:p>
      <w:pPr>
        <w:tabs>
          <w:tab w:val="left" w:pos="5173"/>
          <w:tab w:val="left" w:pos="8970"/>
        </w:tabs>
        <w:adjustRightInd w:val="0"/>
        <w:snapToGrid w:val="0"/>
        <w:spacing w:line="360" w:lineRule="auto"/>
        <w:ind w:firstLine="420" w:firstLineChars="200"/>
        <w:jc w:val="both"/>
        <w:rPr>
          <w:rFonts w:ascii="宋体" w:hAnsi="宋体" w:cs="宋体"/>
          <w:snapToGrid w:val="0"/>
          <w:sz w:val="21"/>
          <w:szCs w:val="21"/>
          <w:highlight w:val="none"/>
          <w:lang w:eastAsia="zh-CN"/>
        </w:rPr>
      </w:pPr>
      <w:r>
        <w:rPr>
          <w:rFonts w:hint="eastAsia" w:ascii="宋体" w:hAnsi="宋体" w:cs="宋体"/>
          <w:snapToGrid w:val="0"/>
          <w:sz w:val="21"/>
          <w:szCs w:val="21"/>
          <w:highlight w:val="none"/>
          <w:lang w:eastAsia="zh-CN"/>
        </w:rPr>
        <w:t>付款方式：货物到达买受方指定地点，买受方验收入库后，开具增值税专用发票挂账进入付款程序，质保金10%，质保期1年，付款视买受方资金情况支付。</w:t>
      </w:r>
    </w:p>
    <w:p>
      <w:pPr>
        <w:spacing w:line="450" w:lineRule="exact"/>
        <w:ind w:firstLine="640"/>
        <w:rPr>
          <w:rFonts w:cs="宋体" w:asciiTheme="minorEastAsia" w:hAnsiTheme="minorEastAsia" w:eastAsiaTheme="minorEastAsia"/>
          <w:b/>
          <w:sz w:val="21"/>
          <w:szCs w:val="21"/>
          <w:highlight w:val="none"/>
          <w:lang w:eastAsia="zh-CN"/>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spacing w:line="450" w:lineRule="exact"/>
        <w:rPr>
          <w:highlight w:val="none"/>
          <w:lang w:eastAsia="zh-CN"/>
        </w:rPr>
      </w:pPr>
    </w:p>
    <w:p>
      <w:pPr>
        <w:pStyle w:val="3"/>
        <w:keepLines w:val="0"/>
        <w:numPr>
          <w:ilvl w:val="0"/>
          <w:numId w:val="5"/>
        </w:numPr>
        <w:jc w:val="center"/>
        <w:rPr>
          <w:rFonts w:ascii="宋体"/>
          <w:color w:val="auto"/>
          <w:sz w:val="52"/>
          <w:szCs w:val="52"/>
          <w:highlight w:val="none"/>
          <w:lang w:eastAsia="zh-CN"/>
        </w:rPr>
      </w:pPr>
      <w:r>
        <w:rPr>
          <w:rFonts w:hint="eastAsia" w:ascii="宋体" w:hAnsi="宋体" w:cs="宋体"/>
          <w:color w:val="auto"/>
          <w:sz w:val="52"/>
          <w:szCs w:val="52"/>
          <w:highlight w:val="none"/>
          <w:lang w:eastAsia="zh-CN"/>
        </w:rPr>
        <w:t>响应文件格式</w:t>
      </w:r>
      <w:bookmarkEnd w:id="467"/>
      <w:bookmarkEnd w:id="468"/>
    </w:p>
    <w:p>
      <w:pPr>
        <w:keepNext/>
        <w:widowControl/>
        <w:rPr>
          <w:rFonts w:ascii="宋体"/>
          <w:color w:val="auto"/>
          <w:highlight w:val="none"/>
          <w:lang w:eastAsia="zh-CN"/>
        </w:rPr>
      </w:pPr>
      <w:r>
        <w:rPr>
          <w:rFonts w:ascii="宋体"/>
          <w:color w:val="auto"/>
          <w:highlight w:val="none"/>
          <w:lang w:eastAsia="zh-CN"/>
        </w:rPr>
        <w:br w:type="page"/>
      </w:r>
    </w:p>
    <w:p>
      <w:pPr>
        <w:keepNext/>
        <w:rPr>
          <w:rFonts w:ascii="宋体"/>
          <w:color w:val="auto"/>
          <w:highlight w:val="none"/>
          <w:lang w:eastAsia="zh-CN"/>
        </w:rPr>
      </w:pPr>
    </w:p>
    <w:p>
      <w:pPr>
        <w:keepNext/>
        <w:spacing w:line="360" w:lineRule="auto"/>
        <w:jc w:val="center"/>
        <w:outlineLvl w:val="0"/>
        <w:rPr>
          <w:rFonts w:ascii="宋体"/>
          <w:color w:val="auto"/>
          <w:sz w:val="32"/>
          <w:szCs w:val="32"/>
          <w:highlight w:val="none"/>
          <w:u w:val="single"/>
          <w:lang w:eastAsia="zh-CN"/>
        </w:rPr>
      </w:pPr>
      <w:bookmarkStart w:id="470" w:name="bookmark546"/>
      <w:bookmarkStart w:id="471" w:name="bookmark545"/>
      <w:bookmarkStart w:id="472" w:name="bookmark544"/>
    </w:p>
    <w:p>
      <w:pPr>
        <w:keepNext/>
        <w:spacing w:line="360" w:lineRule="auto"/>
        <w:jc w:val="center"/>
        <w:outlineLvl w:val="0"/>
        <w:rPr>
          <w:rFonts w:ascii="宋体"/>
          <w:color w:val="auto"/>
          <w:sz w:val="32"/>
          <w:szCs w:val="32"/>
          <w:highlight w:val="none"/>
          <w:u w:val="single"/>
          <w:lang w:eastAsia="zh-CN"/>
        </w:rPr>
      </w:pPr>
    </w:p>
    <w:p>
      <w:pPr>
        <w:keepNext/>
        <w:spacing w:line="360" w:lineRule="auto"/>
        <w:jc w:val="center"/>
        <w:outlineLvl w:val="0"/>
        <w:rPr>
          <w:rFonts w:ascii="宋体"/>
          <w:b/>
          <w:bCs/>
          <w:color w:val="auto"/>
          <w:sz w:val="32"/>
          <w:szCs w:val="32"/>
          <w:highlight w:val="none"/>
          <w:lang w:eastAsia="zh-CN"/>
        </w:rPr>
      </w:pPr>
      <w:bookmarkStart w:id="473" w:name="_Toc79479658"/>
      <w:bookmarkStart w:id="474" w:name="_Toc11828"/>
      <w:bookmarkStart w:id="475" w:name="_Toc20751"/>
      <w:r>
        <w:rPr>
          <w:rFonts w:hint="eastAsia" w:ascii="宋体" w:hAnsi="宋体" w:cs="宋体"/>
          <w:b/>
          <w:bCs/>
          <w:color w:val="auto"/>
          <w:sz w:val="32"/>
          <w:szCs w:val="32"/>
          <w:highlight w:val="none"/>
          <w:u w:val="single"/>
          <w:lang w:eastAsia="zh-CN"/>
        </w:rPr>
        <w:t>（项目名称）</w:t>
      </w:r>
      <w:bookmarkEnd w:id="473"/>
      <w:bookmarkEnd w:id="474"/>
      <w:bookmarkEnd w:id="475"/>
    </w:p>
    <w:p>
      <w:pPr>
        <w:keepNext/>
        <w:jc w:val="center"/>
        <w:rPr>
          <w:rFonts w:ascii="宋体"/>
          <w:b/>
          <w:bCs/>
          <w:color w:val="auto"/>
          <w:sz w:val="52"/>
          <w:szCs w:val="52"/>
          <w:highlight w:val="none"/>
          <w:lang w:eastAsia="zh-CN"/>
        </w:rPr>
      </w:pPr>
    </w:p>
    <w:p>
      <w:pPr>
        <w:keepNext/>
        <w:jc w:val="center"/>
        <w:rPr>
          <w:rFonts w:ascii="宋体"/>
          <w:b/>
          <w:bCs/>
          <w:color w:val="auto"/>
          <w:sz w:val="52"/>
          <w:szCs w:val="52"/>
          <w:highlight w:val="none"/>
          <w:lang w:eastAsia="zh-CN"/>
        </w:rPr>
      </w:pPr>
    </w:p>
    <w:p>
      <w:pPr>
        <w:keepNext/>
        <w:jc w:val="center"/>
        <w:rPr>
          <w:rFonts w:ascii="宋体"/>
          <w:b/>
          <w:bCs/>
          <w:color w:val="auto"/>
          <w:sz w:val="52"/>
          <w:szCs w:val="52"/>
          <w:highlight w:val="none"/>
          <w:lang w:eastAsia="zh-CN"/>
        </w:rPr>
      </w:pPr>
    </w:p>
    <w:p>
      <w:pPr>
        <w:keepNext/>
        <w:jc w:val="center"/>
        <w:rPr>
          <w:rFonts w:ascii="宋体"/>
          <w:b/>
          <w:bCs/>
          <w:color w:val="auto"/>
          <w:sz w:val="52"/>
          <w:szCs w:val="52"/>
          <w:highlight w:val="none"/>
          <w:lang w:eastAsia="zh-CN"/>
        </w:rPr>
      </w:pPr>
    </w:p>
    <w:p>
      <w:pPr>
        <w:keepNext/>
        <w:jc w:val="center"/>
        <w:rPr>
          <w:rFonts w:ascii="宋体"/>
          <w:b/>
          <w:bCs/>
          <w:color w:val="auto"/>
          <w:sz w:val="52"/>
          <w:szCs w:val="52"/>
          <w:highlight w:val="none"/>
          <w:lang w:eastAsia="zh-CN"/>
        </w:rPr>
      </w:pPr>
    </w:p>
    <w:p>
      <w:pPr>
        <w:keepNext/>
        <w:jc w:val="center"/>
        <w:outlineLvl w:val="0"/>
        <w:rPr>
          <w:rFonts w:ascii="宋体"/>
          <w:b/>
          <w:bCs/>
          <w:color w:val="auto"/>
          <w:sz w:val="84"/>
          <w:szCs w:val="84"/>
          <w:highlight w:val="none"/>
          <w:lang w:eastAsia="zh-CN"/>
        </w:rPr>
      </w:pPr>
      <w:bookmarkStart w:id="476" w:name="_Toc32750"/>
      <w:bookmarkStart w:id="477" w:name="_Toc8870"/>
      <w:bookmarkStart w:id="478" w:name="_Toc79479659"/>
      <w:r>
        <w:rPr>
          <w:rFonts w:hint="eastAsia" w:ascii="宋体" w:hAnsi="宋体" w:cs="宋体"/>
          <w:b/>
          <w:bCs/>
          <w:color w:val="auto"/>
          <w:sz w:val="84"/>
          <w:szCs w:val="84"/>
          <w:highlight w:val="none"/>
          <w:lang w:eastAsia="zh-CN"/>
        </w:rPr>
        <w:t>响应文件</w:t>
      </w:r>
      <w:bookmarkEnd w:id="470"/>
      <w:bookmarkEnd w:id="471"/>
      <w:bookmarkEnd w:id="472"/>
      <w:bookmarkEnd w:id="476"/>
      <w:bookmarkEnd w:id="477"/>
      <w:bookmarkEnd w:id="478"/>
    </w:p>
    <w:p>
      <w:pPr>
        <w:keepNext/>
        <w:spacing w:line="360" w:lineRule="auto"/>
        <w:jc w:val="center"/>
        <w:rPr>
          <w:rFonts w:ascii="宋体"/>
          <w:b/>
          <w:bCs/>
          <w:color w:val="auto"/>
          <w:sz w:val="32"/>
          <w:szCs w:val="32"/>
          <w:highlight w:val="none"/>
          <w:lang w:eastAsia="zh-CN"/>
        </w:rPr>
      </w:pPr>
      <w:r>
        <w:rPr>
          <w:rFonts w:hint="eastAsia" w:ascii="宋体" w:hAnsi="宋体" w:cs="宋体"/>
          <w:b/>
          <w:bCs/>
          <w:color w:val="auto"/>
          <w:sz w:val="28"/>
          <w:szCs w:val="28"/>
          <w:highlight w:val="none"/>
          <w:lang w:eastAsia="zh-CN"/>
        </w:rPr>
        <w:t>采</w:t>
      </w:r>
      <w:r>
        <w:rPr>
          <w:rFonts w:hint="eastAsia" w:ascii="宋体" w:hAnsi="宋体" w:cs="宋体"/>
          <w:b/>
          <w:bCs/>
          <w:color w:val="auto"/>
          <w:sz w:val="28"/>
          <w:szCs w:val="28"/>
          <w:highlight w:val="none"/>
        </w:rPr>
        <w:t>购</w:t>
      </w:r>
      <w:r>
        <w:rPr>
          <w:rFonts w:hint="eastAsia" w:ascii="宋体" w:hAnsi="宋体" w:cs="宋体"/>
          <w:b/>
          <w:bCs/>
          <w:color w:val="auto"/>
          <w:sz w:val="28"/>
          <w:szCs w:val="28"/>
          <w:highlight w:val="none"/>
          <w:lang w:eastAsia="zh-CN"/>
        </w:rPr>
        <w:t>编号：</w:t>
      </w:r>
    </w:p>
    <w:p>
      <w:pPr>
        <w:keepNext/>
        <w:jc w:val="center"/>
        <w:rPr>
          <w:rFonts w:ascii="宋体"/>
          <w:b/>
          <w:bCs/>
          <w:color w:val="auto"/>
          <w:sz w:val="52"/>
          <w:szCs w:val="52"/>
          <w:highlight w:val="none"/>
          <w:lang w:eastAsia="zh-CN"/>
        </w:rPr>
      </w:pPr>
    </w:p>
    <w:p>
      <w:pPr>
        <w:keepNext/>
        <w:jc w:val="center"/>
        <w:rPr>
          <w:rFonts w:ascii="宋体"/>
          <w:b/>
          <w:bCs/>
          <w:color w:val="auto"/>
          <w:sz w:val="52"/>
          <w:szCs w:val="52"/>
          <w:highlight w:val="none"/>
          <w:lang w:eastAsia="zh-CN"/>
        </w:rPr>
      </w:pPr>
    </w:p>
    <w:p>
      <w:pPr>
        <w:keepNext/>
        <w:jc w:val="both"/>
        <w:rPr>
          <w:rFonts w:ascii="宋体"/>
          <w:b/>
          <w:bCs/>
          <w:color w:val="auto"/>
          <w:sz w:val="52"/>
          <w:szCs w:val="52"/>
          <w:highlight w:val="none"/>
          <w:lang w:eastAsia="zh-CN"/>
        </w:rPr>
      </w:pPr>
    </w:p>
    <w:p>
      <w:pPr>
        <w:keepNext/>
        <w:jc w:val="center"/>
        <w:rPr>
          <w:rFonts w:ascii="宋体"/>
          <w:b/>
          <w:bCs/>
          <w:color w:val="auto"/>
          <w:sz w:val="52"/>
          <w:szCs w:val="52"/>
          <w:highlight w:val="none"/>
          <w:lang w:eastAsia="zh-CN"/>
        </w:rPr>
      </w:pPr>
    </w:p>
    <w:p>
      <w:pPr>
        <w:keepNext/>
        <w:jc w:val="center"/>
        <w:rPr>
          <w:rFonts w:ascii="宋体"/>
          <w:b/>
          <w:bCs/>
          <w:color w:val="auto"/>
          <w:sz w:val="52"/>
          <w:szCs w:val="52"/>
          <w:highlight w:val="none"/>
          <w:lang w:eastAsia="zh-CN"/>
        </w:rPr>
      </w:pPr>
    </w:p>
    <w:p>
      <w:pPr>
        <w:keepNext/>
        <w:jc w:val="center"/>
        <w:rPr>
          <w:rFonts w:ascii="宋体"/>
          <w:b/>
          <w:bCs/>
          <w:color w:val="auto"/>
          <w:sz w:val="52"/>
          <w:szCs w:val="52"/>
          <w:highlight w:val="none"/>
          <w:lang w:eastAsia="zh-CN"/>
        </w:rPr>
      </w:pPr>
    </w:p>
    <w:p>
      <w:pPr>
        <w:pStyle w:val="45"/>
        <w:keepNext/>
        <w:tabs>
          <w:tab w:val="left" w:pos="826"/>
          <w:tab w:val="left" w:pos="2030"/>
          <w:tab w:val="left" w:pos="3235"/>
        </w:tabs>
        <w:spacing w:line="360" w:lineRule="auto"/>
        <w:ind w:firstLine="2560" w:firstLineChars="800"/>
        <w:jc w:val="both"/>
        <w:outlineLvl w:val="0"/>
        <w:rPr>
          <w:rFonts w:cs="Times New Roman"/>
          <w:color w:val="auto"/>
          <w:sz w:val="32"/>
          <w:szCs w:val="32"/>
          <w:highlight w:val="none"/>
          <w:u w:val="single"/>
        </w:rPr>
      </w:pPr>
      <w:bookmarkStart w:id="479" w:name="_Toc29767"/>
      <w:bookmarkStart w:id="480" w:name="_Toc79479660"/>
      <w:bookmarkStart w:id="481" w:name="_Toc3"/>
      <w:r>
        <w:rPr>
          <w:rFonts w:hint="eastAsia"/>
          <w:color w:val="auto"/>
          <w:sz w:val="32"/>
          <w:szCs w:val="32"/>
          <w:highlight w:val="none"/>
          <w:lang w:eastAsia="zh-CN"/>
        </w:rPr>
        <w:t>供应商</w:t>
      </w:r>
      <w:r>
        <w:rPr>
          <w:rFonts w:hint="eastAsia"/>
          <w:color w:val="auto"/>
          <w:sz w:val="32"/>
          <w:szCs w:val="32"/>
          <w:highlight w:val="none"/>
        </w:rPr>
        <w:t>：</w:t>
      </w:r>
      <w:bookmarkEnd w:id="479"/>
      <w:bookmarkEnd w:id="480"/>
      <w:bookmarkEnd w:id="481"/>
    </w:p>
    <w:p>
      <w:pPr>
        <w:pStyle w:val="45"/>
        <w:keepNext/>
        <w:tabs>
          <w:tab w:val="left" w:pos="826"/>
          <w:tab w:val="left" w:pos="2030"/>
          <w:tab w:val="left" w:pos="3235"/>
        </w:tabs>
        <w:spacing w:line="360" w:lineRule="auto"/>
        <w:ind w:firstLine="640" w:firstLineChars="200"/>
        <w:jc w:val="center"/>
        <w:outlineLvl w:val="1"/>
        <w:rPr>
          <w:rFonts w:cs="Times New Roman"/>
          <w:color w:val="auto"/>
          <w:sz w:val="32"/>
          <w:szCs w:val="32"/>
          <w:highlight w:val="none"/>
        </w:rPr>
      </w:pPr>
      <w:bookmarkStart w:id="482" w:name="_Toc23461"/>
      <w:bookmarkStart w:id="483" w:name="_Toc2220"/>
      <w:bookmarkStart w:id="484" w:name="_Toc79479661"/>
      <w:r>
        <w:rPr>
          <w:rFonts w:hint="eastAsia"/>
          <w:color w:val="auto"/>
          <w:sz w:val="32"/>
          <w:szCs w:val="32"/>
          <w:highlight w:val="none"/>
        </w:rPr>
        <w:t>年月日</w:t>
      </w:r>
      <w:bookmarkEnd w:id="482"/>
      <w:bookmarkEnd w:id="483"/>
      <w:bookmarkEnd w:id="484"/>
    </w:p>
    <w:p>
      <w:pPr>
        <w:keepNext/>
        <w:rPr>
          <w:rFonts w:ascii="宋体"/>
          <w:color w:val="auto"/>
          <w:sz w:val="32"/>
          <w:szCs w:val="32"/>
          <w:highlight w:val="none"/>
          <w:lang w:eastAsia="zh-CN"/>
        </w:rPr>
      </w:pPr>
      <w:r>
        <w:rPr>
          <w:rFonts w:ascii="宋体"/>
          <w:color w:val="auto"/>
          <w:sz w:val="32"/>
          <w:szCs w:val="32"/>
          <w:highlight w:val="none"/>
          <w:lang w:eastAsia="zh-CN"/>
        </w:rPr>
        <w:br w:type="page"/>
      </w:r>
    </w:p>
    <w:p>
      <w:pPr>
        <w:pStyle w:val="4"/>
        <w:keepLines w:val="0"/>
        <w:spacing w:before="0" w:line="360" w:lineRule="auto"/>
        <w:jc w:val="center"/>
        <w:rPr>
          <w:rFonts w:ascii="宋体"/>
          <w:color w:val="auto"/>
          <w:sz w:val="28"/>
          <w:szCs w:val="28"/>
          <w:highlight w:val="none"/>
          <w:lang w:eastAsia="zh-CN"/>
        </w:rPr>
      </w:pPr>
      <w:bookmarkStart w:id="485" w:name="_Toc17017"/>
      <w:bookmarkStart w:id="486" w:name="_Toc79479662"/>
      <w:bookmarkStart w:id="487" w:name="bookmark562"/>
      <w:bookmarkStart w:id="488" w:name="bookmark563"/>
      <w:bookmarkStart w:id="489" w:name="bookmark564"/>
      <w:bookmarkStart w:id="490" w:name="_Toc23015"/>
      <w:r>
        <w:rPr>
          <w:rFonts w:ascii="宋体" w:hAnsi="宋体" w:cs="宋体"/>
          <w:color w:val="auto"/>
          <w:sz w:val="28"/>
          <w:szCs w:val="28"/>
          <w:highlight w:val="none"/>
          <w:lang w:eastAsia="zh-CN"/>
        </w:rPr>
        <w:t>—</w:t>
      </w:r>
      <w:r>
        <w:rPr>
          <w:rFonts w:hint="eastAsia" w:ascii="宋体" w:hAnsi="宋体" w:cs="宋体"/>
          <w:color w:val="auto"/>
          <w:sz w:val="28"/>
          <w:szCs w:val="28"/>
          <w:highlight w:val="none"/>
          <w:lang w:eastAsia="zh-CN"/>
        </w:rPr>
        <w:t>、响应函</w:t>
      </w:r>
      <w:bookmarkEnd w:id="485"/>
      <w:bookmarkEnd w:id="486"/>
      <w:bookmarkEnd w:id="487"/>
      <w:bookmarkEnd w:id="488"/>
      <w:bookmarkEnd w:id="489"/>
      <w:bookmarkEnd w:id="490"/>
    </w:p>
    <w:p>
      <w:pPr>
        <w:pStyle w:val="46"/>
        <w:tabs>
          <w:tab w:val="left" w:leader="underscore" w:pos="1819"/>
        </w:tabs>
        <w:spacing w:line="360" w:lineRule="auto"/>
        <w:ind w:firstLine="0"/>
        <w:rPr>
          <w:rFonts w:cs="Times New Roman"/>
          <w:color w:val="auto"/>
          <w:sz w:val="21"/>
          <w:szCs w:val="21"/>
          <w:highlight w:val="none"/>
        </w:rPr>
      </w:pPr>
      <w:r>
        <w:rPr>
          <w:color w:val="auto"/>
          <w:sz w:val="21"/>
          <w:szCs w:val="21"/>
          <w:highlight w:val="none"/>
          <w:u w:val="single"/>
        </w:rPr>
        <w:t>(</w:t>
      </w:r>
      <w:r>
        <w:rPr>
          <w:rFonts w:hint="eastAsia"/>
          <w:color w:val="auto"/>
          <w:sz w:val="21"/>
          <w:szCs w:val="21"/>
          <w:highlight w:val="none"/>
          <w:u w:val="single"/>
        </w:rPr>
        <w:t>采购人名称</w:t>
      </w:r>
      <w:r>
        <w:rPr>
          <w:color w:val="auto"/>
          <w:sz w:val="21"/>
          <w:szCs w:val="21"/>
          <w:highlight w:val="none"/>
          <w:u w:val="single"/>
        </w:rPr>
        <w:t>):</w:t>
      </w:r>
    </w:p>
    <w:p>
      <w:pPr>
        <w:pStyle w:val="46"/>
        <w:tabs>
          <w:tab w:val="left" w:pos="903"/>
          <w:tab w:val="left" w:pos="1915"/>
          <w:tab w:val="left" w:pos="4603"/>
          <w:tab w:val="left" w:pos="4805"/>
          <w:tab w:val="left" w:pos="5030"/>
          <w:tab w:val="left" w:pos="6749"/>
        </w:tabs>
        <w:spacing w:line="360" w:lineRule="auto"/>
        <w:ind w:firstLine="420" w:firstLineChars="200"/>
        <w:rPr>
          <w:rFonts w:cs="Times New Roman"/>
          <w:color w:val="auto"/>
          <w:sz w:val="21"/>
          <w:szCs w:val="21"/>
          <w:highlight w:val="none"/>
          <w:lang w:eastAsia="zh-CN"/>
        </w:rPr>
      </w:pPr>
      <w:bookmarkStart w:id="491" w:name="bookmark565"/>
      <w:bookmarkEnd w:id="491"/>
      <w:r>
        <w:rPr>
          <w:color w:val="auto"/>
          <w:sz w:val="21"/>
          <w:szCs w:val="21"/>
          <w:highlight w:val="none"/>
        </w:rPr>
        <w:t>1</w:t>
      </w:r>
      <w:r>
        <w:rPr>
          <w:rFonts w:hint="eastAsia"/>
          <w:color w:val="auto"/>
          <w:sz w:val="21"/>
          <w:szCs w:val="21"/>
          <w:highlight w:val="none"/>
        </w:rPr>
        <w:t>．我方已仔细研究了（项目名称）项目采购文件的全部内容，愿意以：人民币（大写）（</w:t>
      </w:r>
      <w:r>
        <w:rPr>
          <w:rFonts w:hint="eastAsia"/>
          <w:color w:val="auto"/>
          <w:sz w:val="21"/>
          <w:szCs w:val="21"/>
          <w:highlight w:val="none"/>
          <w:lang w:eastAsia="zh-CN"/>
        </w:rPr>
        <w:t>小</w:t>
      </w:r>
      <w:r>
        <w:rPr>
          <w:rFonts w:hint="eastAsia"/>
          <w:color w:val="auto"/>
          <w:sz w:val="21"/>
          <w:szCs w:val="21"/>
          <w:highlight w:val="none"/>
        </w:rPr>
        <w:t>写）的总报价</w:t>
      </w:r>
      <w:r>
        <w:rPr>
          <w:rFonts w:hint="eastAsia"/>
          <w:color w:val="auto"/>
          <w:sz w:val="21"/>
          <w:szCs w:val="21"/>
          <w:highlight w:val="none"/>
          <w:lang w:eastAsia="zh-CN"/>
        </w:rPr>
        <w:t>（含税）</w:t>
      </w:r>
      <w:r>
        <w:rPr>
          <w:rFonts w:hint="eastAsia"/>
          <w:color w:val="auto"/>
          <w:sz w:val="21"/>
          <w:szCs w:val="21"/>
          <w:highlight w:val="none"/>
        </w:rPr>
        <w:t>（其中，增值税</w:t>
      </w:r>
      <w:r>
        <w:rPr>
          <w:rFonts w:hint="eastAsia"/>
          <w:color w:val="auto"/>
          <w:sz w:val="21"/>
          <w:szCs w:val="21"/>
          <w:highlight w:val="none"/>
          <w:lang w:eastAsia="zh-CN"/>
        </w:rPr>
        <w:t>专票</w:t>
      </w:r>
      <w:r>
        <w:rPr>
          <w:rFonts w:hint="eastAsia"/>
          <w:color w:val="auto"/>
          <w:sz w:val="21"/>
          <w:szCs w:val="21"/>
          <w:highlight w:val="none"/>
        </w:rPr>
        <w:t>税率为</w:t>
      </w:r>
      <w:r>
        <w:rPr>
          <w:rFonts w:hint="eastAsia"/>
          <w:color w:val="auto"/>
          <w:sz w:val="21"/>
          <w:szCs w:val="21"/>
          <w:highlight w:val="none"/>
          <w:lang w:eastAsia="zh-CN"/>
        </w:rPr>
        <w:t>：</w:t>
      </w:r>
      <w:r>
        <w:rPr>
          <w:rFonts w:hint="eastAsia"/>
          <w:color w:val="auto"/>
          <w:sz w:val="21"/>
          <w:szCs w:val="21"/>
          <w:highlight w:val="none"/>
        </w:rPr>
        <w:t>）；</w:t>
      </w:r>
      <w:r>
        <w:rPr>
          <w:rFonts w:hint="eastAsia"/>
          <w:color w:val="auto"/>
          <w:sz w:val="21"/>
          <w:szCs w:val="21"/>
          <w:highlight w:val="none"/>
          <w:lang w:eastAsia="zh-CN"/>
        </w:rPr>
        <w:t>交货期</w:t>
      </w:r>
      <w:r>
        <w:rPr>
          <w:rFonts w:hint="eastAsia"/>
          <w:color w:val="auto"/>
          <w:sz w:val="21"/>
          <w:szCs w:val="21"/>
          <w:highlight w:val="none"/>
        </w:rPr>
        <w:t>：；完成本项目，并按合同约定履行义务；</w:t>
      </w:r>
    </w:p>
    <w:p>
      <w:pPr>
        <w:pStyle w:val="46"/>
        <w:tabs>
          <w:tab w:val="left" w:pos="903"/>
        </w:tabs>
        <w:spacing w:line="360" w:lineRule="auto"/>
        <w:ind w:firstLine="420" w:firstLineChars="200"/>
        <w:rPr>
          <w:rFonts w:cs="Times New Roman"/>
          <w:color w:val="auto"/>
          <w:sz w:val="21"/>
          <w:szCs w:val="21"/>
          <w:highlight w:val="none"/>
        </w:rPr>
      </w:pPr>
      <w:bookmarkStart w:id="492" w:name="bookmark566"/>
      <w:bookmarkEnd w:id="492"/>
      <w:r>
        <w:rPr>
          <w:color w:val="auto"/>
          <w:sz w:val="21"/>
          <w:szCs w:val="21"/>
          <w:highlight w:val="none"/>
          <w:lang w:val="en-US" w:eastAsia="zh-CN"/>
        </w:rPr>
        <w:t>2.</w:t>
      </w:r>
      <w:r>
        <w:rPr>
          <w:rFonts w:hint="eastAsia"/>
          <w:color w:val="auto"/>
          <w:sz w:val="21"/>
          <w:szCs w:val="21"/>
          <w:highlight w:val="none"/>
        </w:rPr>
        <w:t>我方的响应文件包括下列内容：</w:t>
      </w:r>
    </w:p>
    <w:p>
      <w:pPr>
        <w:pStyle w:val="46"/>
        <w:tabs>
          <w:tab w:val="left" w:pos="982"/>
        </w:tabs>
        <w:spacing w:line="360" w:lineRule="auto"/>
        <w:ind w:firstLine="420" w:firstLineChars="200"/>
        <w:outlineLvl w:val="0"/>
        <w:rPr>
          <w:rFonts w:cs="Times New Roman"/>
          <w:color w:val="auto"/>
          <w:sz w:val="21"/>
          <w:szCs w:val="21"/>
          <w:highlight w:val="none"/>
        </w:rPr>
      </w:pPr>
      <w:bookmarkStart w:id="493" w:name="bookmark567"/>
      <w:bookmarkEnd w:id="493"/>
      <w:bookmarkStart w:id="494" w:name="_Toc25123"/>
      <w:bookmarkStart w:id="495" w:name="_Toc22513"/>
      <w:r>
        <w:rPr>
          <w:rFonts w:hint="eastAsia"/>
          <w:color w:val="auto"/>
          <w:sz w:val="21"/>
          <w:szCs w:val="21"/>
          <w:highlight w:val="none"/>
          <w:lang w:eastAsia="zh-CN"/>
        </w:rPr>
        <w:t>（</w:t>
      </w:r>
      <w:r>
        <w:rPr>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响应函；</w:t>
      </w:r>
      <w:bookmarkEnd w:id="494"/>
      <w:bookmarkEnd w:id="495"/>
    </w:p>
    <w:p>
      <w:pPr>
        <w:pStyle w:val="46"/>
        <w:tabs>
          <w:tab w:val="left" w:pos="986"/>
        </w:tabs>
        <w:spacing w:line="360" w:lineRule="auto"/>
        <w:ind w:firstLine="420" w:firstLineChars="200"/>
        <w:outlineLvl w:val="0"/>
        <w:rPr>
          <w:rFonts w:cs="Times New Roman"/>
          <w:color w:val="auto"/>
          <w:sz w:val="21"/>
          <w:szCs w:val="21"/>
          <w:highlight w:val="none"/>
          <w:lang w:eastAsia="zh-CN"/>
        </w:rPr>
      </w:pPr>
      <w:bookmarkStart w:id="496" w:name="bookmark568"/>
      <w:bookmarkEnd w:id="496"/>
      <w:bookmarkStart w:id="497" w:name="_Toc6349"/>
      <w:bookmarkStart w:id="498" w:name="_Toc17890"/>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授权委托书；</w:t>
      </w:r>
      <w:bookmarkEnd w:id="497"/>
      <w:bookmarkEnd w:id="498"/>
      <w:bookmarkStart w:id="499" w:name="bookmark569"/>
      <w:bookmarkEnd w:id="499"/>
    </w:p>
    <w:p>
      <w:pPr>
        <w:pStyle w:val="46"/>
        <w:tabs>
          <w:tab w:val="left" w:pos="986"/>
        </w:tabs>
        <w:spacing w:line="360" w:lineRule="auto"/>
        <w:ind w:firstLine="420" w:firstLineChars="200"/>
        <w:outlineLvl w:val="0"/>
        <w:rPr>
          <w:color w:val="auto"/>
          <w:sz w:val="21"/>
          <w:szCs w:val="21"/>
          <w:highlight w:val="none"/>
          <w:lang w:eastAsia="zh-CN"/>
        </w:rPr>
      </w:pPr>
      <w:bookmarkStart w:id="500" w:name="bookmark570"/>
      <w:bookmarkEnd w:id="500"/>
      <w:bookmarkStart w:id="501" w:name="bookmark571"/>
      <w:bookmarkEnd w:id="501"/>
      <w:bookmarkStart w:id="502" w:name="_Toc4721"/>
      <w:bookmarkStart w:id="503" w:name="_Toc14411"/>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商务和技术偏差表；</w:t>
      </w:r>
      <w:bookmarkEnd w:id="502"/>
      <w:bookmarkEnd w:id="503"/>
    </w:p>
    <w:p>
      <w:pPr>
        <w:pStyle w:val="46"/>
        <w:tabs>
          <w:tab w:val="left" w:pos="986"/>
        </w:tabs>
        <w:spacing w:line="360" w:lineRule="auto"/>
        <w:ind w:firstLine="420" w:firstLineChars="200"/>
        <w:outlineLvl w:val="0"/>
        <w:rPr>
          <w:color w:val="auto"/>
          <w:sz w:val="21"/>
          <w:szCs w:val="21"/>
          <w:highlight w:val="none"/>
        </w:rPr>
      </w:pPr>
      <w:r>
        <w:rPr>
          <w:rFonts w:hint="eastAsia"/>
          <w:color w:val="auto"/>
          <w:sz w:val="21"/>
          <w:szCs w:val="21"/>
          <w:highlight w:val="none"/>
          <w:lang w:eastAsia="zh-CN"/>
        </w:rPr>
        <w:t>（4）</w:t>
      </w:r>
      <w:r>
        <w:rPr>
          <w:rFonts w:hint="eastAsia"/>
          <w:color w:val="auto"/>
          <w:sz w:val="21"/>
          <w:szCs w:val="21"/>
          <w:highlight w:val="none"/>
        </w:rPr>
        <w:t>响应保证金(适用于要求提交响应保证金的情况)</w:t>
      </w:r>
    </w:p>
    <w:p>
      <w:pPr>
        <w:pStyle w:val="46"/>
        <w:tabs>
          <w:tab w:val="left" w:pos="986"/>
        </w:tabs>
        <w:spacing w:line="360" w:lineRule="auto"/>
        <w:ind w:firstLine="420" w:firstLineChars="200"/>
        <w:outlineLvl w:val="0"/>
        <w:rPr>
          <w:color w:val="auto"/>
          <w:sz w:val="21"/>
          <w:szCs w:val="21"/>
          <w:highlight w:val="none"/>
        </w:rPr>
      </w:pPr>
      <w:bookmarkStart w:id="504" w:name="bookmark573"/>
      <w:bookmarkEnd w:id="504"/>
      <w:bookmarkStart w:id="505" w:name="bookmark572"/>
      <w:bookmarkEnd w:id="505"/>
      <w:bookmarkStart w:id="506" w:name="_Toc10394"/>
      <w:bookmarkStart w:id="507" w:name="_Toc14654"/>
      <w:r>
        <w:rPr>
          <w:rFonts w:hint="eastAsia"/>
          <w:color w:val="auto"/>
          <w:sz w:val="21"/>
          <w:szCs w:val="21"/>
          <w:highlight w:val="none"/>
        </w:rPr>
        <w:t>（5）资格审查资料；</w:t>
      </w:r>
      <w:bookmarkEnd w:id="506"/>
      <w:bookmarkEnd w:id="507"/>
    </w:p>
    <w:p>
      <w:pPr>
        <w:pStyle w:val="46"/>
        <w:tabs>
          <w:tab w:val="left" w:pos="986"/>
        </w:tabs>
        <w:spacing w:line="360" w:lineRule="auto"/>
        <w:ind w:firstLine="420" w:firstLineChars="200"/>
        <w:outlineLvl w:val="0"/>
        <w:rPr>
          <w:color w:val="auto"/>
          <w:sz w:val="21"/>
          <w:szCs w:val="21"/>
          <w:highlight w:val="none"/>
        </w:rPr>
      </w:pPr>
      <w:bookmarkStart w:id="508" w:name="bookmark574"/>
      <w:bookmarkEnd w:id="508"/>
      <w:bookmarkStart w:id="509" w:name="_Toc13086"/>
      <w:bookmarkStart w:id="510" w:name="_Toc23877"/>
      <w:r>
        <w:rPr>
          <w:rFonts w:hint="eastAsia"/>
          <w:color w:val="auto"/>
          <w:sz w:val="21"/>
          <w:szCs w:val="21"/>
          <w:highlight w:val="none"/>
        </w:rPr>
        <w:t>（6）货物质量标准或技术性能指标的详细描述；</w:t>
      </w:r>
      <w:bookmarkEnd w:id="509"/>
      <w:bookmarkEnd w:id="510"/>
    </w:p>
    <w:p>
      <w:pPr>
        <w:pStyle w:val="46"/>
        <w:tabs>
          <w:tab w:val="left" w:pos="986"/>
        </w:tabs>
        <w:spacing w:line="360" w:lineRule="auto"/>
        <w:ind w:firstLine="420" w:firstLineChars="200"/>
        <w:outlineLvl w:val="0"/>
        <w:rPr>
          <w:color w:val="auto"/>
          <w:sz w:val="21"/>
          <w:szCs w:val="21"/>
          <w:highlight w:val="none"/>
        </w:rPr>
      </w:pPr>
      <w:r>
        <w:rPr>
          <w:rFonts w:hint="eastAsia"/>
          <w:color w:val="auto"/>
          <w:sz w:val="21"/>
          <w:szCs w:val="21"/>
          <w:highlight w:val="none"/>
        </w:rPr>
        <w:t>（7）技术支持资料</w:t>
      </w:r>
    </w:p>
    <w:p>
      <w:pPr>
        <w:pStyle w:val="46"/>
        <w:tabs>
          <w:tab w:val="left" w:pos="986"/>
        </w:tabs>
        <w:spacing w:line="360" w:lineRule="auto"/>
        <w:ind w:firstLine="420" w:firstLineChars="200"/>
        <w:outlineLvl w:val="0"/>
        <w:rPr>
          <w:color w:val="auto"/>
          <w:sz w:val="21"/>
          <w:szCs w:val="21"/>
          <w:highlight w:val="none"/>
        </w:rPr>
      </w:pPr>
      <w:r>
        <w:rPr>
          <w:rFonts w:hint="eastAsia"/>
          <w:color w:val="auto"/>
          <w:sz w:val="21"/>
          <w:szCs w:val="21"/>
          <w:highlight w:val="none"/>
        </w:rPr>
        <w:t>（8）相关服务计划</w:t>
      </w:r>
    </w:p>
    <w:p>
      <w:pPr>
        <w:pStyle w:val="46"/>
        <w:tabs>
          <w:tab w:val="left" w:pos="986"/>
        </w:tabs>
        <w:spacing w:line="360" w:lineRule="auto"/>
        <w:ind w:firstLine="420" w:firstLineChars="200"/>
        <w:outlineLvl w:val="0"/>
        <w:rPr>
          <w:color w:val="auto"/>
          <w:sz w:val="21"/>
          <w:szCs w:val="21"/>
          <w:highlight w:val="none"/>
        </w:rPr>
      </w:pPr>
      <w:r>
        <w:rPr>
          <w:rFonts w:hint="eastAsia"/>
          <w:color w:val="auto"/>
          <w:sz w:val="21"/>
          <w:szCs w:val="21"/>
          <w:highlight w:val="none"/>
        </w:rPr>
        <w:t>（9）其他资料；</w:t>
      </w:r>
    </w:p>
    <w:p>
      <w:pPr>
        <w:pStyle w:val="46"/>
        <w:spacing w:line="360" w:lineRule="auto"/>
        <w:ind w:firstLine="420" w:firstLineChars="200"/>
        <w:rPr>
          <w:rFonts w:cs="Times New Roman"/>
          <w:color w:val="auto"/>
          <w:sz w:val="21"/>
          <w:szCs w:val="21"/>
          <w:highlight w:val="none"/>
        </w:rPr>
      </w:pPr>
      <w:r>
        <w:rPr>
          <w:rFonts w:hint="eastAsia"/>
          <w:color w:val="auto"/>
          <w:sz w:val="21"/>
          <w:szCs w:val="21"/>
          <w:highlight w:val="none"/>
        </w:rPr>
        <w:t>响应文件的上述组成部分如存在内容不一致的，以响应函为准。</w:t>
      </w:r>
    </w:p>
    <w:p>
      <w:pPr>
        <w:pStyle w:val="46"/>
        <w:tabs>
          <w:tab w:val="left" w:pos="903"/>
        </w:tabs>
        <w:spacing w:line="360" w:lineRule="auto"/>
        <w:ind w:firstLine="420" w:firstLineChars="200"/>
        <w:rPr>
          <w:rFonts w:cs="Times New Roman"/>
          <w:color w:val="auto"/>
          <w:sz w:val="21"/>
          <w:szCs w:val="21"/>
          <w:highlight w:val="none"/>
        </w:rPr>
      </w:pPr>
      <w:bookmarkStart w:id="511" w:name="bookmark575"/>
      <w:bookmarkEnd w:id="511"/>
      <w:r>
        <w:rPr>
          <w:color w:val="auto"/>
          <w:sz w:val="21"/>
          <w:szCs w:val="21"/>
          <w:highlight w:val="none"/>
          <w:lang w:val="en-US" w:eastAsia="zh-CN"/>
        </w:rPr>
        <w:t>3.</w:t>
      </w:r>
      <w:r>
        <w:rPr>
          <w:rFonts w:hint="eastAsia"/>
          <w:color w:val="auto"/>
          <w:sz w:val="21"/>
          <w:szCs w:val="21"/>
          <w:highlight w:val="none"/>
        </w:rPr>
        <w:t>我方承诺除商务和技术偏差表列出的偏差外，我方响应采购文件的全部要求。</w:t>
      </w:r>
    </w:p>
    <w:p>
      <w:pPr>
        <w:pStyle w:val="46"/>
        <w:tabs>
          <w:tab w:val="left" w:pos="903"/>
        </w:tabs>
        <w:spacing w:line="360" w:lineRule="auto"/>
        <w:ind w:firstLine="420" w:firstLineChars="200"/>
        <w:rPr>
          <w:rFonts w:cs="Times New Roman"/>
          <w:color w:val="auto"/>
          <w:sz w:val="21"/>
          <w:szCs w:val="21"/>
          <w:highlight w:val="none"/>
        </w:rPr>
      </w:pPr>
      <w:bookmarkStart w:id="512" w:name="bookmark576"/>
      <w:bookmarkEnd w:id="512"/>
      <w:r>
        <w:rPr>
          <w:color w:val="auto"/>
          <w:sz w:val="21"/>
          <w:szCs w:val="21"/>
          <w:highlight w:val="none"/>
          <w:lang w:val="en-US" w:eastAsia="zh-CN"/>
        </w:rPr>
        <w:t>4.</w:t>
      </w:r>
      <w:r>
        <w:rPr>
          <w:rFonts w:hint="eastAsia"/>
          <w:color w:val="auto"/>
          <w:sz w:val="21"/>
          <w:szCs w:val="21"/>
          <w:highlight w:val="none"/>
        </w:rPr>
        <w:t>我方承诺在采购文件规定的响应文件有效期</w:t>
      </w:r>
      <w:r>
        <w:rPr>
          <w:color w:val="auto"/>
          <w:sz w:val="21"/>
          <w:szCs w:val="21"/>
          <w:highlight w:val="none"/>
          <w:u w:val="single"/>
          <w:lang w:eastAsia="zh-CN"/>
        </w:rPr>
        <w:t>90</w:t>
      </w:r>
      <w:r>
        <w:rPr>
          <w:rFonts w:hint="eastAsia"/>
          <w:color w:val="auto"/>
          <w:sz w:val="21"/>
          <w:szCs w:val="21"/>
          <w:highlight w:val="none"/>
          <w:u w:val="single"/>
          <w:lang w:eastAsia="zh-CN"/>
        </w:rPr>
        <w:t>天</w:t>
      </w:r>
      <w:r>
        <w:rPr>
          <w:rFonts w:hint="eastAsia"/>
          <w:color w:val="auto"/>
          <w:sz w:val="21"/>
          <w:szCs w:val="21"/>
          <w:highlight w:val="none"/>
        </w:rPr>
        <w:t>内不撤销响应文件。</w:t>
      </w:r>
    </w:p>
    <w:p>
      <w:pPr>
        <w:pStyle w:val="46"/>
        <w:tabs>
          <w:tab w:val="left" w:pos="903"/>
        </w:tabs>
        <w:spacing w:line="360" w:lineRule="auto"/>
        <w:ind w:firstLine="420" w:firstLineChars="200"/>
        <w:rPr>
          <w:rFonts w:cs="Times New Roman"/>
          <w:color w:val="auto"/>
          <w:sz w:val="21"/>
          <w:szCs w:val="21"/>
          <w:highlight w:val="none"/>
        </w:rPr>
      </w:pPr>
      <w:bookmarkStart w:id="513" w:name="bookmark577"/>
      <w:bookmarkEnd w:id="513"/>
      <w:r>
        <w:rPr>
          <w:color w:val="auto"/>
          <w:sz w:val="21"/>
          <w:szCs w:val="21"/>
          <w:highlight w:val="none"/>
          <w:lang w:val="en-US" w:eastAsia="zh-CN"/>
        </w:rPr>
        <w:t>5.</w:t>
      </w:r>
      <w:r>
        <w:rPr>
          <w:rFonts w:hint="eastAsia"/>
          <w:color w:val="auto"/>
          <w:sz w:val="21"/>
          <w:szCs w:val="21"/>
          <w:highlight w:val="none"/>
        </w:rPr>
        <w:t>如我方成交，我方承诺：</w:t>
      </w:r>
    </w:p>
    <w:p>
      <w:pPr>
        <w:pStyle w:val="46"/>
        <w:tabs>
          <w:tab w:val="left" w:pos="986"/>
        </w:tabs>
        <w:spacing w:line="360" w:lineRule="auto"/>
        <w:ind w:left="480" w:leftChars="200" w:firstLine="0"/>
        <w:rPr>
          <w:rFonts w:cs="Times New Roman"/>
          <w:color w:val="auto"/>
          <w:sz w:val="21"/>
          <w:szCs w:val="21"/>
          <w:highlight w:val="none"/>
          <w:lang w:eastAsia="zh-CN"/>
        </w:rPr>
      </w:pPr>
      <w:bookmarkStart w:id="514" w:name="bookmark578"/>
      <w:bookmarkEnd w:id="514"/>
      <w:r>
        <w:rPr>
          <w:rFonts w:hint="eastAsia"/>
          <w:color w:val="auto"/>
          <w:sz w:val="21"/>
          <w:szCs w:val="21"/>
          <w:highlight w:val="none"/>
          <w:lang w:eastAsia="zh-CN"/>
        </w:rPr>
        <w:t>（</w:t>
      </w:r>
      <w:r>
        <w:rPr>
          <w:color w:val="auto"/>
          <w:sz w:val="21"/>
          <w:szCs w:val="21"/>
          <w:highlight w:val="none"/>
          <w:lang w:eastAsia="zh-CN"/>
        </w:rPr>
        <w:t>1</w:t>
      </w:r>
      <w:r>
        <w:rPr>
          <w:rFonts w:hint="eastAsia"/>
          <w:color w:val="auto"/>
          <w:sz w:val="21"/>
          <w:szCs w:val="21"/>
          <w:highlight w:val="none"/>
          <w:lang w:eastAsia="zh-CN"/>
        </w:rPr>
        <w:t>）在收到成交通知书后，在成交通知书规定的期限内与你方签订合同；</w:t>
      </w:r>
    </w:p>
    <w:p>
      <w:pPr>
        <w:pStyle w:val="46"/>
        <w:tabs>
          <w:tab w:val="left" w:pos="991"/>
        </w:tabs>
        <w:spacing w:line="360" w:lineRule="auto"/>
        <w:ind w:left="480" w:leftChars="200" w:firstLine="0"/>
        <w:rPr>
          <w:rFonts w:cs="Times New Roman"/>
          <w:color w:val="auto"/>
          <w:sz w:val="21"/>
          <w:szCs w:val="21"/>
          <w:highlight w:val="none"/>
        </w:rPr>
      </w:pPr>
      <w:bookmarkStart w:id="515" w:name="bookmark579"/>
      <w:bookmarkEnd w:id="515"/>
      <w:r>
        <w:rPr>
          <w:rFonts w:hint="eastAsia"/>
          <w:color w:val="auto"/>
          <w:sz w:val="21"/>
          <w:szCs w:val="21"/>
          <w:highlight w:val="none"/>
          <w:lang w:eastAsia="zh-CN"/>
        </w:rPr>
        <w:t>（</w:t>
      </w:r>
      <w:r>
        <w:rPr>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在签订合同时不向你方提岀附加条件；</w:t>
      </w:r>
    </w:p>
    <w:p>
      <w:pPr>
        <w:pStyle w:val="46"/>
        <w:tabs>
          <w:tab w:val="left" w:pos="991"/>
        </w:tabs>
        <w:spacing w:line="360" w:lineRule="auto"/>
        <w:ind w:left="480" w:leftChars="200" w:firstLine="0"/>
        <w:rPr>
          <w:rFonts w:cs="Times New Roman"/>
          <w:color w:val="auto"/>
          <w:sz w:val="21"/>
          <w:szCs w:val="21"/>
          <w:highlight w:val="none"/>
        </w:rPr>
      </w:pPr>
      <w:bookmarkStart w:id="516" w:name="bookmark580"/>
      <w:bookmarkEnd w:id="516"/>
      <w:r>
        <w:rPr>
          <w:rFonts w:hint="eastAsia"/>
          <w:color w:val="auto"/>
          <w:sz w:val="21"/>
          <w:szCs w:val="21"/>
          <w:highlight w:val="none"/>
          <w:lang w:eastAsia="zh-CN"/>
        </w:rPr>
        <w:t>（</w:t>
      </w:r>
      <w:r>
        <w:rPr>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在合同约定的期限内完成合同规定的全部义务。</w:t>
      </w:r>
    </w:p>
    <w:p>
      <w:pPr>
        <w:pStyle w:val="46"/>
        <w:tabs>
          <w:tab w:val="left" w:pos="903"/>
        </w:tabs>
        <w:spacing w:line="360" w:lineRule="auto"/>
        <w:ind w:firstLine="420" w:firstLineChars="200"/>
        <w:rPr>
          <w:rFonts w:cs="Times New Roman"/>
          <w:color w:val="auto"/>
          <w:sz w:val="21"/>
          <w:szCs w:val="21"/>
          <w:highlight w:val="none"/>
        </w:rPr>
      </w:pPr>
      <w:bookmarkStart w:id="517" w:name="bookmark582"/>
      <w:bookmarkEnd w:id="517"/>
      <w:r>
        <w:rPr>
          <w:color w:val="auto"/>
          <w:sz w:val="21"/>
          <w:szCs w:val="21"/>
          <w:highlight w:val="none"/>
          <w:lang w:val="en-US" w:eastAsia="zh-CN"/>
        </w:rPr>
        <w:t>6.</w:t>
      </w:r>
      <w:r>
        <w:rPr>
          <w:rFonts w:hint="eastAsia"/>
          <w:color w:val="auto"/>
          <w:sz w:val="21"/>
          <w:szCs w:val="21"/>
          <w:highlight w:val="none"/>
        </w:rPr>
        <w:t>我方在此声明，所递交的响应文件及有关资料内容完整、真实和准确，且不存在第一章</w:t>
      </w:r>
      <w:r>
        <w:rPr>
          <w:rFonts w:hint="eastAsia"/>
          <w:color w:val="auto"/>
          <w:sz w:val="21"/>
          <w:szCs w:val="21"/>
          <w:highlight w:val="none"/>
          <w:lang w:val="zh-CN" w:eastAsia="zh-CN"/>
        </w:rPr>
        <w:t>“询比</w:t>
      </w:r>
      <w:r>
        <w:rPr>
          <w:rFonts w:hint="eastAsia"/>
          <w:color w:val="auto"/>
          <w:sz w:val="21"/>
          <w:szCs w:val="21"/>
          <w:highlight w:val="none"/>
        </w:rPr>
        <w:t>采购公告”中规定的供应商不得存在的情形。</w:t>
      </w:r>
    </w:p>
    <w:p>
      <w:pPr>
        <w:pStyle w:val="46"/>
        <w:tabs>
          <w:tab w:val="left" w:pos="903"/>
        </w:tabs>
        <w:spacing w:line="360" w:lineRule="auto"/>
        <w:ind w:firstLine="420" w:firstLineChars="200"/>
        <w:rPr>
          <w:rFonts w:cs="Times New Roman"/>
          <w:color w:val="auto"/>
          <w:sz w:val="21"/>
          <w:szCs w:val="21"/>
          <w:highlight w:val="none"/>
          <w:lang w:val="en-US" w:eastAsia="zh-CN"/>
        </w:rPr>
      </w:pPr>
      <w:bookmarkStart w:id="518" w:name="bookmark583"/>
      <w:bookmarkEnd w:id="518"/>
      <w:r>
        <w:rPr>
          <w:color w:val="auto"/>
          <w:sz w:val="21"/>
          <w:szCs w:val="21"/>
          <w:highlight w:val="none"/>
          <w:lang w:val="en-US" w:eastAsia="zh-CN"/>
        </w:rPr>
        <w:t>7.</w:t>
      </w:r>
      <w:r>
        <w:rPr>
          <w:rFonts w:hint="eastAsia"/>
          <w:color w:val="auto"/>
          <w:sz w:val="21"/>
          <w:szCs w:val="21"/>
          <w:highlight w:val="none"/>
          <w:lang w:val="en-US" w:eastAsia="zh-CN"/>
        </w:rPr>
        <w:t>（其他补充说明）。</w:t>
      </w:r>
    </w:p>
    <w:p>
      <w:pPr>
        <w:pStyle w:val="46"/>
        <w:tabs>
          <w:tab w:val="left" w:pos="903"/>
        </w:tabs>
        <w:spacing w:line="360" w:lineRule="auto"/>
        <w:ind w:firstLine="0"/>
        <w:rPr>
          <w:rFonts w:cs="Times New Roman"/>
          <w:color w:val="auto"/>
          <w:sz w:val="21"/>
          <w:szCs w:val="21"/>
          <w:highlight w:val="none"/>
          <w:lang w:val="en-US" w:eastAsia="zh-CN"/>
        </w:rPr>
      </w:pPr>
    </w:p>
    <w:p>
      <w:pPr>
        <w:pStyle w:val="46"/>
        <w:keepNext/>
        <w:tabs>
          <w:tab w:val="left" w:pos="903"/>
          <w:tab w:val="left" w:leader="underscore" w:pos="3600"/>
          <w:tab w:val="left" w:pos="5285"/>
        </w:tabs>
        <w:spacing w:line="360" w:lineRule="auto"/>
        <w:ind w:left="480" w:leftChars="200" w:firstLine="0"/>
        <w:rPr>
          <w:rFonts w:cs="Times New Roman"/>
          <w:color w:val="auto"/>
          <w:sz w:val="21"/>
          <w:szCs w:val="21"/>
          <w:highlight w:val="none"/>
          <w:lang w:val="en-US" w:eastAsia="zh-CN"/>
        </w:rPr>
      </w:pPr>
    </w:p>
    <w:p>
      <w:pPr>
        <w:pStyle w:val="46"/>
        <w:keepNext/>
        <w:tabs>
          <w:tab w:val="left" w:pos="7346"/>
          <w:tab w:val="left" w:pos="7826"/>
          <w:tab w:val="left" w:pos="8561"/>
        </w:tabs>
        <w:spacing w:line="360" w:lineRule="auto"/>
        <w:ind w:firstLine="420" w:firstLineChars="200"/>
        <w:jc w:val="right"/>
        <w:rPr>
          <w:rFonts w:cs="Times New Roman"/>
          <w:color w:val="auto"/>
          <w:sz w:val="21"/>
          <w:szCs w:val="21"/>
          <w:highlight w:val="none"/>
          <w:lang w:eastAsia="zh-CN"/>
        </w:rPr>
      </w:pPr>
    </w:p>
    <w:p>
      <w:pPr>
        <w:pStyle w:val="46"/>
        <w:keepNext/>
        <w:tabs>
          <w:tab w:val="left" w:pos="7346"/>
          <w:tab w:val="left" w:pos="7826"/>
          <w:tab w:val="left" w:pos="8561"/>
        </w:tabs>
        <w:spacing w:line="360" w:lineRule="auto"/>
        <w:ind w:firstLine="420" w:firstLineChars="200"/>
        <w:jc w:val="right"/>
        <w:rPr>
          <w:color w:val="auto"/>
          <w:sz w:val="21"/>
          <w:szCs w:val="21"/>
          <w:highlight w:val="none"/>
          <w:u w:val="single"/>
        </w:rPr>
      </w:pPr>
      <w:r>
        <w:rPr>
          <w:rFonts w:hint="eastAsia"/>
          <w:color w:val="auto"/>
          <w:sz w:val="21"/>
          <w:szCs w:val="21"/>
          <w:highlight w:val="none"/>
        </w:rPr>
        <w:t>供应商：</w:t>
      </w:r>
      <w:r>
        <w:rPr>
          <w:color w:val="auto"/>
          <w:sz w:val="21"/>
          <w:szCs w:val="21"/>
          <w:highlight w:val="none"/>
          <w:u w:val="single"/>
        </w:rPr>
        <w:t>(</w:t>
      </w:r>
      <w:r>
        <w:rPr>
          <w:rFonts w:hint="eastAsia"/>
          <w:color w:val="auto"/>
          <w:sz w:val="21"/>
          <w:szCs w:val="21"/>
          <w:highlight w:val="none"/>
          <w:u w:val="single"/>
        </w:rPr>
        <w:t>盖章</w:t>
      </w:r>
      <w:r>
        <w:rPr>
          <w:color w:val="auto"/>
          <w:sz w:val="21"/>
          <w:szCs w:val="21"/>
          <w:highlight w:val="none"/>
          <w:u w:val="single"/>
        </w:rPr>
        <w:t>)</w:t>
      </w:r>
    </w:p>
    <w:p>
      <w:pPr>
        <w:pStyle w:val="46"/>
        <w:keepNext/>
        <w:tabs>
          <w:tab w:val="left" w:pos="7346"/>
          <w:tab w:val="left" w:pos="7826"/>
          <w:tab w:val="left" w:pos="8561"/>
        </w:tabs>
        <w:spacing w:line="360" w:lineRule="auto"/>
        <w:ind w:firstLine="420" w:firstLineChars="200"/>
        <w:jc w:val="right"/>
        <w:rPr>
          <w:rFonts w:cs="Times New Roman"/>
          <w:color w:val="auto"/>
          <w:sz w:val="21"/>
          <w:szCs w:val="21"/>
          <w:highlight w:val="none"/>
          <w:u w:val="single"/>
          <w:lang w:eastAsia="zh-CN"/>
        </w:rPr>
      </w:pPr>
      <w:r>
        <w:rPr>
          <w:rFonts w:hint="eastAsia"/>
          <w:color w:val="auto"/>
          <w:sz w:val="21"/>
          <w:szCs w:val="21"/>
          <w:highlight w:val="none"/>
        </w:rPr>
        <w:t>法定代表人或其授权的代理人：</w:t>
      </w:r>
      <w:r>
        <w:rPr>
          <w:color w:val="auto"/>
          <w:sz w:val="21"/>
          <w:szCs w:val="21"/>
          <w:highlight w:val="none"/>
          <w:u w:val="single"/>
        </w:rPr>
        <w:t>(</w:t>
      </w:r>
      <w:r>
        <w:rPr>
          <w:rFonts w:hint="eastAsia"/>
          <w:color w:val="auto"/>
          <w:sz w:val="21"/>
          <w:szCs w:val="21"/>
          <w:highlight w:val="none"/>
          <w:u w:val="single"/>
        </w:rPr>
        <w:t>签字或盖章</w:t>
      </w:r>
      <w:r>
        <w:rPr>
          <w:color w:val="auto"/>
          <w:sz w:val="21"/>
          <w:szCs w:val="21"/>
          <w:highlight w:val="none"/>
          <w:u w:val="single"/>
        </w:rPr>
        <w:t>)</w:t>
      </w:r>
    </w:p>
    <w:p>
      <w:pPr>
        <w:pStyle w:val="46"/>
        <w:keepNext/>
        <w:tabs>
          <w:tab w:val="left" w:pos="235"/>
          <w:tab w:val="left" w:leader="underscore" w:pos="854"/>
          <w:tab w:val="left" w:pos="2150"/>
          <w:tab w:val="left" w:pos="3346"/>
        </w:tabs>
        <w:spacing w:line="360" w:lineRule="auto"/>
        <w:ind w:firstLine="420" w:firstLineChars="200"/>
        <w:jc w:val="right"/>
        <w:rPr>
          <w:rFonts w:cs="Times New Roman"/>
          <w:color w:val="auto"/>
          <w:sz w:val="21"/>
          <w:szCs w:val="21"/>
          <w:highlight w:val="none"/>
          <w:u w:val="single"/>
        </w:rPr>
      </w:pPr>
    </w:p>
    <w:p>
      <w:pPr>
        <w:pStyle w:val="46"/>
        <w:keepNext/>
        <w:tabs>
          <w:tab w:val="left" w:pos="235"/>
          <w:tab w:val="left" w:leader="underscore" w:pos="854"/>
          <w:tab w:val="left" w:pos="2150"/>
          <w:tab w:val="left" w:pos="3346"/>
        </w:tabs>
        <w:spacing w:line="360" w:lineRule="auto"/>
        <w:ind w:firstLine="420" w:firstLineChars="200"/>
        <w:jc w:val="right"/>
        <w:rPr>
          <w:rFonts w:cs="Times New Roman"/>
          <w:color w:val="auto"/>
          <w:sz w:val="21"/>
          <w:szCs w:val="21"/>
          <w:highlight w:val="none"/>
          <w:lang w:eastAsia="zh-CN"/>
        </w:rPr>
      </w:pPr>
      <w:r>
        <w:rPr>
          <w:rFonts w:hint="eastAsia"/>
          <w:color w:val="auto"/>
          <w:sz w:val="21"/>
          <w:szCs w:val="21"/>
          <w:highlight w:val="none"/>
        </w:rPr>
        <w:t>年月</w:t>
      </w:r>
      <w:r>
        <w:rPr>
          <w:rFonts w:hint="eastAsia"/>
          <w:color w:val="auto"/>
          <w:sz w:val="21"/>
          <w:szCs w:val="21"/>
          <w:highlight w:val="none"/>
          <w:lang w:eastAsia="zh-CN"/>
        </w:rPr>
        <w:t>日</w:t>
      </w:r>
    </w:p>
    <w:p>
      <w:pPr>
        <w:pStyle w:val="46"/>
        <w:keepNext/>
        <w:tabs>
          <w:tab w:val="left" w:pos="235"/>
          <w:tab w:val="left" w:leader="underscore" w:pos="854"/>
          <w:tab w:val="left" w:pos="2150"/>
          <w:tab w:val="left" w:pos="3346"/>
        </w:tabs>
        <w:spacing w:line="360" w:lineRule="auto"/>
        <w:ind w:right="840" w:firstLine="420" w:firstLineChars="200"/>
        <w:rPr>
          <w:rFonts w:cs="Times New Roman"/>
          <w:color w:val="auto"/>
          <w:sz w:val="21"/>
          <w:szCs w:val="21"/>
          <w:highlight w:val="none"/>
          <w:lang w:eastAsia="zh-CN"/>
        </w:rPr>
        <w:sectPr>
          <w:headerReference r:id="rId4" w:type="first"/>
          <w:headerReference r:id="rId3" w:type="default"/>
          <w:footerReference r:id="rId5" w:type="default"/>
          <w:type w:val="nextColumn"/>
          <w:pgSz w:w="11907" w:h="16840"/>
          <w:pgMar w:top="1418" w:right="1418" w:bottom="1418" w:left="1418" w:header="851" w:footer="992" w:gutter="0"/>
          <w:cols w:space="425" w:num="1"/>
          <w:titlePg/>
          <w:docGrid w:linePitch="326" w:charSpace="0"/>
        </w:sectPr>
      </w:pPr>
    </w:p>
    <w:p>
      <w:pPr>
        <w:pStyle w:val="46"/>
        <w:keepNext/>
        <w:tabs>
          <w:tab w:val="left" w:pos="235"/>
          <w:tab w:val="left" w:leader="underscore" w:pos="854"/>
          <w:tab w:val="left" w:pos="2150"/>
          <w:tab w:val="left" w:pos="3346"/>
        </w:tabs>
        <w:spacing w:line="360" w:lineRule="auto"/>
        <w:ind w:right="840" w:firstLine="422" w:firstLineChars="200"/>
        <w:jc w:val="center"/>
        <w:rPr>
          <w:b/>
          <w:bCs/>
          <w:color w:val="auto"/>
          <w:sz w:val="21"/>
          <w:szCs w:val="21"/>
          <w:highlight w:val="none"/>
          <w:lang w:eastAsia="zh-CN"/>
        </w:rPr>
      </w:pPr>
      <w:bookmarkStart w:id="519" w:name="bookmark586"/>
      <w:bookmarkStart w:id="520" w:name="_Toc15916"/>
      <w:bookmarkStart w:id="521" w:name="_Toc79479664"/>
      <w:bookmarkStart w:id="522" w:name="bookmark587"/>
      <w:bookmarkStart w:id="523" w:name="bookmark585"/>
      <w:bookmarkStart w:id="524" w:name="bookmark584"/>
      <w:bookmarkStart w:id="525" w:name="_Toc16221"/>
      <w:r>
        <w:rPr>
          <w:rFonts w:hint="eastAsia"/>
          <w:b/>
          <w:bCs/>
          <w:color w:val="auto"/>
          <w:sz w:val="21"/>
          <w:szCs w:val="21"/>
          <w:highlight w:val="none"/>
          <w:lang w:eastAsia="zh-CN"/>
        </w:rPr>
        <w:t>分项报价表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683"/>
        <w:gridCol w:w="1384"/>
        <w:gridCol w:w="754"/>
        <w:gridCol w:w="756"/>
        <w:gridCol w:w="1384"/>
        <w:gridCol w:w="138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pPr>
              <w:keepNext/>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06"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eastAsia="zh-CN"/>
              </w:rPr>
              <w:t>名称</w:t>
            </w:r>
          </w:p>
        </w:tc>
        <w:tc>
          <w:tcPr>
            <w:tcW w:w="745"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eastAsia="zh-CN"/>
              </w:rPr>
              <w:t>规格型号</w:t>
            </w:r>
          </w:p>
        </w:tc>
        <w:tc>
          <w:tcPr>
            <w:tcW w:w="406" w:type="pct"/>
            <w:tcBorders>
              <w:top w:val="single" w:color="auto" w:sz="4" w:space="0"/>
              <w:left w:val="single" w:color="auto" w:sz="4" w:space="0"/>
              <w:bottom w:val="single" w:color="auto" w:sz="4" w:space="0"/>
              <w:right w:val="single" w:color="auto" w:sz="4" w:space="0"/>
            </w:tcBorders>
            <w:vAlign w:val="center"/>
          </w:tcPr>
          <w:p>
            <w:pPr>
              <w:keepNext/>
              <w:adjustRightInd w:val="0"/>
              <w:snapToGrid w:val="0"/>
              <w:jc w:val="center"/>
              <w:rPr>
                <w:rFonts w:ascii="宋体" w:hAnsi="宋体"/>
                <w:color w:val="auto"/>
                <w:sz w:val="21"/>
                <w:szCs w:val="21"/>
                <w:highlight w:val="none"/>
                <w:lang w:eastAsia="zh-CN"/>
              </w:rPr>
            </w:pPr>
            <w:r>
              <w:rPr>
                <w:rFonts w:hint="eastAsia" w:ascii="宋体" w:hAnsi="宋体"/>
                <w:color w:val="auto"/>
                <w:sz w:val="21"/>
                <w:szCs w:val="21"/>
                <w:highlight w:val="none"/>
                <w:lang w:eastAsia="zh-CN"/>
              </w:rPr>
              <w:t>单位</w:t>
            </w:r>
          </w:p>
        </w:tc>
        <w:tc>
          <w:tcPr>
            <w:tcW w:w="407" w:type="pct"/>
            <w:tcBorders>
              <w:top w:val="single" w:color="auto" w:sz="4" w:space="0"/>
              <w:left w:val="single" w:color="auto" w:sz="4" w:space="0"/>
              <w:bottom w:val="single" w:color="auto" w:sz="4" w:space="0"/>
              <w:right w:val="single" w:color="auto" w:sz="4" w:space="0"/>
            </w:tcBorders>
            <w:vAlign w:val="center"/>
          </w:tcPr>
          <w:p>
            <w:pPr>
              <w:keepNext/>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745" w:type="pct"/>
            <w:tcBorders>
              <w:top w:val="single" w:color="auto" w:sz="4" w:space="0"/>
              <w:left w:val="single" w:color="auto" w:sz="4" w:space="0"/>
              <w:bottom w:val="single" w:color="auto" w:sz="4" w:space="0"/>
              <w:right w:val="single" w:color="auto" w:sz="4" w:space="0"/>
            </w:tcBorders>
            <w:vAlign w:val="center"/>
          </w:tcPr>
          <w:p>
            <w:pPr>
              <w:keepNext/>
              <w:adjustRightInd w:val="0"/>
              <w:snapToGrid w:val="0"/>
              <w:jc w:val="center"/>
              <w:rPr>
                <w:rFonts w:ascii="宋体" w:hAnsi="宋体"/>
                <w:color w:val="auto"/>
                <w:sz w:val="21"/>
                <w:szCs w:val="21"/>
                <w:highlight w:val="none"/>
                <w:lang w:eastAsia="zh-CN"/>
              </w:rPr>
            </w:pPr>
            <w:r>
              <w:rPr>
                <w:rFonts w:hint="eastAsia" w:ascii="宋体" w:hAnsi="宋体"/>
                <w:color w:val="auto"/>
                <w:sz w:val="21"/>
                <w:szCs w:val="21"/>
                <w:highlight w:val="none"/>
                <w:lang w:eastAsia="zh-CN"/>
              </w:rPr>
              <w:t>单价（含税）（元）</w:t>
            </w:r>
          </w:p>
        </w:tc>
        <w:tc>
          <w:tcPr>
            <w:tcW w:w="745" w:type="pct"/>
            <w:tcBorders>
              <w:top w:val="single" w:color="auto" w:sz="4" w:space="0"/>
              <w:left w:val="single" w:color="auto" w:sz="4" w:space="0"/>
              <w:bottom w:val="single" w:color="auto" w:sz="4" w:space="0"/>
              <w:right w:val="single" w:color="auto" w:sz="4" w:space="0"/>
            </w:tcBorders>
            <w:vAlign w:val="center"/>
          </w:tcPr>
          <w:p>
            <w:pPr>
              <w:keepNext/>
              <w:adjustRightInd w:val="0"/>
              <w:snapToGrid w:val="0"/>
              <w:jc w:val="center"/>
              <w:rPr>
                <w:rFonts w:ascii="宋体" w:hAnsi="宋体"/>
                <w:color w:val="auto"/>
                <w:sz w:val="21"/>
                <w:szCs w:val="21"/>
                <w:highlight w:val="none"/>
                <w:lang w:eastAsia="zh-CN"/>
              </w:rPr>
            </w:pPr>
            <w:r>
              <w:rPr>
                <w:rFonts w:hint="eastAsia" w:ascii="宋体" w:hAnsi="宋体"/>
                <w:color w:val="auto"/>
                <w:sz w:val="21"/>
                <w:szCs w:val="21"/>
                <w:highlight w:val="none"/>
                <w:lang w:eastAsia="zh-CN"/>
              </w:rPr>
              <w:t>合价(含税)（元）</w:t>
            </w:r>
          </w:p>
        </w:tc>
        <w:tc>
          <w:tcPr>
            <w:tcW w:w="806" w:type="pct"/>
            <w:tcBorders>
              <w:top w:val="single" w:color="auto" w:sz="4" w:space="0"/>
              <w:left w:val="single" w:color="auto" w:sz="4" w:space="0"/>
              <w:bottom w:val="single" w:color="auto" w:sz="4" w:space="0"/>
              <w:right w:val="single" w:color="auto" w:sz="4" w:space="0"/>
            </w:tcBorders>
            <w:vAlign w:val="center"/>
          </w:tcPr>
          <w:p>
            <w:pPr>
              <w:keepNext/>
              <w:adjustRightInd w:val="0"/>
              <w:snapToGrid w:val="0"/>
              <w:jc w:val="center"/>
              <w:rPr>
                <w:rFonts w:ascii="宋体" w:hAnsi="宋体"/>
                <w:color w:val="auto"/>
                <w:sz w:val="21"/>
                <w:szCs w:val="21"/>
                <w:highlight w:val="none"/>
                <w:lang w:eastAsia="zh-CN"/>
              </w:rPr>
            </w:pPr>
            <w:r>
              <w:rPr>
                <w:rFonts w:ascii="宋体" w:hAnsi="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0"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9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0"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9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0"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9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0"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9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0"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9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745"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0"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c>
          <w:tcPr>
            <w:tcW w:w="906" w:type="pct"/>
            <w:tcBorders>
              <w:top w:val="single" w:color="auto" w:sz="4" w:space="0"/>
              <w:left w:val="single" w:color="auto" w:sz="4" w:space="0"/>
              <w:bottom w:val="single" w:color="auto" w:sz="4" w:space="0"/>
              <w:right w:val="single" w:color="auto" w:sz="4" w:space="0"/>
            </w:tcBorders>
            <w:vAlign w:val="center"/>
          </w:tcPr>
          <w:p>
            <w:pPr>
              <w:keepNext/>
              <w:adjustRightInd w:val="0"/>
              <w:snapToGrid w:val="0"/>
              <w:jc w:val="center"/>
              <w:rPr>
                <w:rFonts w:ascii="宋体" w:hAnsi="宋体"/>
                <w:color w:val="auto"/>
                <w:sz w:val="21"/>
                <w:szCs w:val="21"/>
                <w:highlight w:val="none"/>
              </w:rPr>
            </w:pPr>
            <w:r>
              <w:rPr>
                <w:rFonts w:ascii="宋体" w:hAnsi="宋体"/>
                <w:color w:val="auto"/>
                <w:sz w:val="21"/>
                <w:szCs w:val="21"/>
                <w:highlight w:val="none"/>
              </w:rPr>
              <w:t>交货期</w:t>
            </w:r>
          </w:p>
        </w:tc>
        <w:tc>
          <w:tcPr>
            <w:tcW w:w="3854" w:type="pct"/>
            <w:gridSpan w:val="6"/>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0" w:type="pct"/>
            <w:tcBorders>
              <w:top w:val="single" w:color="auto" w:sz="4" w:space="0"/>
              <w:left w:val="single" w:color="auto" w:sz="4" w:space="0"/>
              <w:bottom w:val="single" w:color="auto" w:sz="4" w:space="0"/>
              <w:right w:val="single" w:color="auto" w:sz="4" w:space="0"/>
            </w:tcBorders>
          </w:tcPr>
          <w:p>
            <w:pPr>
              <w:keepNext/>
              <w:adjustRightInd w:val="0"/>
              <w:snapToGrid w:val="0"/>
              <w:jc w:val="center"/>
              <w:rPr>
                <w:rFonts w:ascii="宋体" w:hAnsi="宋体"/>
                <w:color w:val="auto"/>
                <w:sz w:val="21"/>
                <w:szCs w:val="21"/>
                <w:highlight w:val="none"/>
                <w:lang w:eastAsia="zh-CN"/>
              </w:rPr>
            </w:pPr>
          </w:p>
        </w:tc>
        <w:tc>
          <w:tcPr>
            <w:tcW w:w="906" w:type="pct"/>
            <w:tcBorders>
              <w:top w:val="single" w:color="auto" w:sz="4" w:space="0"/>
              <w:left w:val="single" w:color="auto" w:sz="4" w:space="0"/>
              <w:bottom w:val="single" w:color="auto" w:sz="4" w:space="0"/>
              <w:right w:val="single" w:color="auto" w:sz="4" w:space="0"/>
            </w:tcBorders>
            <w:vAlign w:val="center"/>
          </w:tcPr>
          <w:p>
            <w:pPr>
              <w:keepNext/>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lang w:eastAsia="zh-CN"/>
              </w:rPr>
              <w:t>总报价</w:t>
            </w:r>
          </w:p>
        </w:tc>
        <w:tc>
          <w:tcPr>
            <w:tcW w:w="3854" w:type="pct"/>
            <w:gridSpan w:val="6"/>
            <w:tcBorders>
              <w:top w:val="single" w:color="auto" w:sz="4" w:space="0"/>
              <w:left w:val="single" w:color="auto" w:sz="4" w:space="0"/>
              <w:bottom w:val="single" w:color="auto" w:sz="4" w:space="0"/>
              <w:right w:val="single" w:color="auto" w:sz="4" w:space="0"/>
            </w:tcBorders>
          </w:tcPr>
          <w:p>
            <w:pPr>
              <w:keepNext/>
              <w:jc w:val="both"/>
              <w:rPr>
                <w:rFonts w:ascii="宋体" w:hAnsi="宋体"/>
                <w:bCs/>
                <w:color w:val="auto"/>
                <w:sz w:val="21"/>
                <w:szCs w:val="21"/>
                <w:highlight w:val="none"/>
              </w:rPr>
            </w:pPr>
            <w:r>
              <w:rPr>
                <w:rFonts w:hint="eastAsia" w:ascii="宋体" w:hAnsi="宋体"/>
                <w:bCs/>
                <w:color w:val="auto"/>
                <w:sz w:val="21"/>
                <w:szCs w:val="21"/>
                <w:highlight w:val="none"/>
              </w:rPr>
              <w:t>大写：元</w:t>
            </w:r>
          </w:p>
          <w:p>
            <w:pPr>
              <w:keepNext/>
              <w:adjustRightInd w:val="0"/>
              <w:snapToGrid w:val="0"/>
              <w:rPr>
                <w:rFonts w:ascii="宋体" w:hAnsi="宋体"/>
                <w:color w:val="auto"/>
                <w:sz w:val="21"/>
                <w:szCs w:val="21"/>
                <w:highlight w:val="none"/>
              </w:rPr>
            </w:pPr>
            <w:r>
              <w:rPr>
                <w:rFonts w:hint="eastAsia" w:ascii="宋体" w:hAnsi="宋体"/>
                <w:bCs/>
                <w:color w:val="auto"/>
                <w:sz w:val="21"/>
                <w:szCs w:val="21"/>
                <w:highlight w:val="none"/>
              </w:rPr>
              <w:t>小写：元</w:t>
            </w:r>
          </w:p>
        </w:tc>
      </w:tr>
    </w:tbl>
    <w:p>
      <w:pPr>
        <w:pStyle w:val="46"/>
        <w:keepNext/>
        <w:tabs>
          <w:tab w:val="left" w:pos="7346"/>
          <w:tab w:val="left" w:pos="7826"/>
          <w:tab w:val="left" w:pos="8561"/>
        </w:tabs>
        <w:spacing w:line="360" w:lineRule="auto"/>
        <w:ind w:firstLine="0"/>
        <w:rPr>
          <w:color w:val="auto"/>
          <w:sz w:val="21"/>
          <w:szCs w:val="21"/>
          <w:highlight w:val="none"/>
          <w:lang w:eastAsia="zh-CN"/>
        </w:rPr>
      </w:pPr>
    </w:p>
    <w:p>
      <w:pPr>
        <w:pStyle w:val="46"/>
        <w:keepNext/>
        <w:tabs>
          <w:tab w:val="left" w:pos="7346"/>
          <w:tab w:val="left" w:pos="7826"/>
          <w:tab w:val="left" w:pos="8561"/>
        </w:tabs>
        <w:spacing w:line="360" w:lineRule="auto"/>
        <w:ind w:firstLine="420" w:firstLineChars="200"/>
        <w:jc w:val="right"/>
        <w:rPr>
          <w:color w:val="auto"/>
          <w:sz w:val="21"/>
          <w:szCs w:val="21"/>
          <w:highlight w:val="none"/>
        </w:rPr>
      </w:pPr>
    </w:p>
    <w:p>
      <w:pPr>
        <w:pStyle w:val="46"/>
        <w:keepNext/>
        <w:tabs>
          <w:tab w:val="left" w:pos="7346"/>
          <w:tab w:val="left" w:pos="7826"/>
          <w:tab w:val="left" w:pos="8561"/>
        </w:tabs>
        <w:spacing w:line="360" w:lineRule="auto"/>
        <w:ind w:firstLine="420" w:firstLineChars="200"/>
        <w:jc w:val="right"/>
        <w:rPr>
          <w:color w:val="auto"/>
          <w:sz w:val="21"/>
          <w:szCs w:val="21"/>
          <w:highlight w:val="none"/>
          <w:u w:val="single"/>
        </w:rPr>
      </w:pPr>
      <w:r>
        <w:rPr>
          <w:rFonts w:hint="eastAsia"/>
          <w:color w:val="auto"/>
          <w:sz w:val="21"/>
          <w:szCs w:val="21"/>
          <w:highlight w:val="none"/>
        </w:rPr>
        <w:t>供应商：</w:t>
      </w:r>
      <w:r>
        <w:rPr>
          <w:color w:val="auto"/>
          <w:sz w:val="21"/>
          <w:szCs w:val="21"/>
          <w:highlight w:val="none"/>
          <w:u w:val="single"/>
        </w:rPr>
        <w:t>(</w:t>
      </w:r>
      <w:r>
        <w:rPr>
          <w:rFonts w:hint="eastAsia"/>
          <w:color w:val="auto"/>
          <w:sz w:val="21"/>
          <w:szCs w:val="21"/>
          <w:highlight w:val="none"/>
          <w:u w:val="single"/>
        </w:rPr>
        <w:t>盖章</w:t>
      </w:r>
      <w:r>
        <w:rPr>
          <w:color w:val="auto"/>
          <w:sz w:val="21"/>
          <w:szCs w:val="21"/>
          <w:highlight w:val="none"/>
          <w:u w:val="single"/>
        </w:rPr>
        <w:t>)</w:t>
      </w:r>
    </w:p>
    <w:p>
      <w:pPr>
        <w:pStyle w:val="46"/>
        <w:keepNext/>
        <w:tabs>
          <w:tab w:val="left" w:pos="7346"/>
          <w:tab w:val="left" w:pos="7826"/>
          <w:tab w:val="left" w:pos="8561"/>
        </w:tabs>
        <w:spacing w:line="360" w:lineRule="auto"/>
        <w:ind w:firstLine="420" w:firstLineChars="200"/>
        <w:jc w:val="right"/>
        <w:rPr>
          <w:rFonts w:cs="Times New Roman"/>
          <w:color w:val="auto"/>
          <w:sz w:val="21"/>
          <w:szCs w:val="21"/>
          <w:highlight w:val="none"/>
          <w:u w:val="single"/>
          <w:lang w:eastAsia="zh-CN"/>
        </w:rPr>
      </w:pPr>
      <w:r>
        <w:rPr>
          <w:rFonts w:hint="eastAsia"/>
          <w:color w:val="auto"/>
          <w:sz w:val="21"/>
          <w:szCs w:val="21"/>
          <w:highlight w:val="none"/>
        </w:rPr>
        <w:t>法定代表人或其授权的代理人：</w:t>
      </w:r>
      <w:r>
        <w:rPr>
          <w:color w:val="auto"/>
          <w:sz w:val="21"/>
          <w:szCs w:val="21"/>
          <w:highlight w:val="none"/>
          <w:u w:val="single"/>
        </w:rPr>
        <w:t>(</w:t>
      </w:r>
      <w:r>
        <w:rPr>
          <w:rFonts w:hint="eastAsia"/>
          <w:color w:val="auto"/>
          <w:sz w:val="21"/>
          <w:szCs w:val="21"/>
          <w:highlight w:val="none"/>
          <w:u w:val="single"/>
        </w:rPr>
        <w:t>签字或盖章</w:t>
      </w:r>
      <w:r>
        <w:rPr>
          <w:color w:val="auto"/>
          <w:sz w:val="21"/>
          <w:szCs w:val="21"/>
          <w:highlight w:val="none"/>
          <w:u w:val="single"/>
        </w:rPr>
        <w:t>)</w:t>
      </w:r>
    </w:p>
    <w:p>
      <w:pPr>
        <w:spacing w:line="400" w:lineRule="exact"/>
        <w:jc w:val="right"/>
        <w:rPr>
          <w:rFonts w:ascii="宋体"/>
          <w:color w:val="auto"/>
          <w:sz w:val="21"/>
          <w:szCs w:val="21"/>
          <w:highlight w:val="none"/>
          <w:lang w:eastAsia="zh-CN"/>
        </w:rPr>
        <w:sectPr>
          <w:pgSz w:w="11907" w:h="16840"/>
          <w:pgMar w:top="1418" w:right="1418" w:bottom="1418" w:left="1418" w:header="851" w:footer="992" w:gutter="0"/>
          <w:cols w:space="425" w:num="1"/>
          <w:titlePg/>
          <w:docGrid w:linePitch="312" w:charSpace="0"/>
        </w:sectPr>
      </w:pPr>
      <w:r>
        <w:rPr>
          <w:rFonts w:hint="eastAsia" w:ascii="宋体" w:hAnsi="宋体" w:cs="宋体"/>
          <w:color w:val="auto"/>
          <w:sz w:val="21"/>
          <w:szCs w:val="21"/>
          <w:highlight w:val="none"/>
          <w:lang w:eastAsia="zh-CN"/>
        </w:rPr>
        <w:t>年月日</w:t>
      </w:r>
    </w:p>
    <w:p>
      <w:pPr>
        <w:pStyle w:val="4"/>
        <w:keepLines w:val="0"/>
        <w:spacing w:before="0" w:after="0" w:line="360" w:lineRule="auto"/>
        <w:jc w:val="center"/>
        <w:rPr>
          <w:rFonts w:ascii="宋体"/>
          <w:color w:val="auto"/>
          <w:sz w:val="28"/>
          <w:szCs w:val="28"/>
          <w:highlight w:val="none"/>
          <w:lang w:eastAsia="zh-CN"/>
        </w:rPr>
      </w:pPr>
      <w:r>
        <w:rPr>
          <w:rFonts w:hint="eastAsia" w:ascii="宋体" w:hAnsi="宋体" w:cs="宋体"/>
          <w:color w:val="auto"/>
          <w:sz w:val="28"/>
          <w:szCs w:val="28"/>
          <w:highlight w:val="none"/>
          <w:lang w:eastAsia="zh-CN"/>
        </w:rPr>
        <w:t>二</w:t>
      </w:r>
      <w:bookmarkEnd w:id="519"/>
      <w:r>
        <w:rPr>
          <w:rFonts w:hint="eastAsia" w:ascii="宋体" w:hAnsi="宋体" w:cs="宋体"/>
          <w:color w:val="auto"/>
          <w:sz w:val="28"/>
          <w:szCs w:val="28"/>
          <w:highlight w:val="none"/>
          <w:lang w:eastAsia="zh-CN"/>
        </w:rPr>
        <w:t>、授权委托书</w:t>
      </w:r>
      <w:bookmarkEnd w:id="520"/>
      <w:bookmarkEnd w:id="521"/>
      <w:bookmarkEnd w:id="522"/>
      <w:bookmarkEnd w:id="523"/>
      <w:bookmarkEnd w:id="524"/>
      <w:bookmarkEnd w:id="525"/>
    </w:p>
    <w:p>
      <w:pPr>
        <w:pStyle w:val="46"/>
        <w:keepNext/>
        <w:tabs>
          <w:tab w:val="left" w:pos="2309"/>
          <w:tab w:val="left" w:pos="3802"/>
          <w:tab w:val="left" w:pos="5578"/>
          <w:tab w:val="left" w:pos="5986"/>
        </w:tabs>
        <w:spacing w:line="360" w:lineRule="auto"/>
        <w:ind w:firstLine="420" w:firstLineChars="200"/>
        <w:rPr>
          <w:rFonts w:cs="Times New Roman"/>
          <w:color w:val="auto"/>
          <w:sz w:val="21"/>
          <w:szCs w:val="21"/>
          <w:highlight w:val="none"/>
        </w:rPr>
      </w:pPr>
      <w:r>
        <w:rPr>
          <w:rFonts w:hint="eastAsia"/>
          <w:color w:val="auto"/>
          <w:sz w:val="21"/>
          <w:szCs w:val="21"/>
          <w:highlight w:val="none"/>
        </w:rPr>
        <w:t>本人</w:t>
      </w:r>
      <w:r>
        <w:rPr>
          <w:rFonts w:hint="eastAsia"/>
          <w:color w:val="auto"/>
          <w:sz w:val="21"/>
          <w:szCs w:val="21"/>
          <w:highlight w:val="none"/>
          <w:u w:val="single"/>
        </w:rPr>
        <w:t>（姓名）</w:t>
      </w:r>
      <w:r>
        <w:rPr>
          <w:rFonts w:hint="eastAsia"/>
          <w:color w:val="auto"/>
          <w:sz w:val="21"/>
          <w:szCs w:val="21"/>
          <w:highlight w:val="none"/>
        </w:rPr>
        <w:t>系</w:t>
      </w:r>
      <w:r>
        <w:rPr>
          <w:rFonts w:hint="eastAsia"/>
          <w:color w:val="auto"/>
          <w:sz w:val="21"/>
          <w:szCs w:val="21"/>
          <w:highlight w:val="none"/>
          <w:u w:val="single"/>
        </w:rPr>
        <w:t>（供应商名称）</w:t>
      </w:r>
      <w:r>
        <w:rPr>
          <w:rFonts w:hint="eastAsia"/>
          <w:color w:val="auto"/>
          <w:sz w:val="21"/>
          <w:szCs w:val="21"/>
          <w:highlight w:val="none"/>
        </w:rPr>
        <w:t>的法定代表人（单位负责人），现委托</w:t>
      </w:r>
      <w:r>
        <w:rPr>
          <w:rFonts w:hint="eastAsia"/>
          <w:color w:val="auto"/>
          <w:sz w:val="21"/>
          <w:szCs w:val="21"/>
          <w:highlight w:val="none"/>
          <w:u w:val="single"/>
        </w:rPr>
        <w:t>（姓名）</w:t>
      </w:r>
      <w:r>
        <w:rPr>
          <w:rFonts w:hint="eastAsia"/>
          <w:color w:val="auto"/>
          <w:sz w:val="21"/>
          <w:szCs w:val="21"/>
          <w:highlight w:val="none"/>
        </w:rPr>
        <w:t>为我方代理人。代理人根据授权，以我方名义签署、澄清确认、递交、撤回、修改</w:t>
      </w:r>
      <w:r>
        <w:rPr>
          <w:rFonts w:hint="eastAsia"/>
          <w:color w:val="auto"/>
          <w:sz w:val="21"/>
          <w:szCs w:val="21"/>
          <w:highlight w:val="none"/>
          <w:lang w:val="en-US" w:eastAsia="zh-CN"/>
        </w:rPr>
        <w:t>询比采购</w:t>
      </w:r>
      <w:r>
        <w:rPr>
          <w:rFonts w:hint="eastAsia"/>
          <w:color w:val="auto"/>
          <w:sz w:val="21"/>
          <w:szCs w:val="21"/>
          <w:highlight w:val="none"/>
        </w:rPr>
        <w:t>项目响应文件、签订合同和处理有关事宜，其法律后果由我方</w:t>
      </w:r>
      <w:r>
        <w:rPr>
          <w:rFonts w:hint="eastAsia"/>
          <w:color w:val="auto"/>
          <w:sz w:val="21"/>
          <w:szCs w:val="21"/>
          <w:highlight w:val="none"/>
          <w:lang w:val="zh-CN" w:eastAsia="zh-CN"/>
        </w:rPr>
        <w:t>承担。</w:t>
      </w:r>
    </w:p>
    <w:p>
      <w:pPr>
        <w:pStyle w:val="46"/>
        <w:keepNext/>
        <w:tabs>
          <w:tab w:val="left" w:pos="5669"/>
        </w:tabs>
        <w:spacing w:line="360" w:lineRule="auto"/>
        <w:ind w:firstLine="420" w:firstLineChars="200"/>
        <w:rPr>
          <w:rFonts w:cs="Times New Roman"/>
          <w:color w:val="auto"/>
          <w:sz w:val="21"/>
          <w:szCs w:val="21"/>
          <w:highlight w:val="none"/>
        </w:rPr>
      </w:pPr>
      <w:r>
        <w:rPr>
          <w:rFonts w:hint="eastAsia"/>
          <w:color w:val="auto"/>
          <w:sz w:val="21"/>
          <w:szCs w:val="21"/>
          <w:highlight w:val="none"/>
        </w:rPr>
        <w:t>委托期限：自本委托书签署之日起至</w:t>
      </w:r>
      <w:r>
        <w:rPr>
          <w:rFonts w:hint="eastAsia"/>
          <w:color w:val="auto"/>
          <w:sz w:val="21"/>
          <w:szCs w:val="21"/>
          <w:highlight w:val="none"/>
          <w:lang w:val="en-US" w:eastAsia="zh-CN"/>
        </w:rPr>
        <w:t>询比采购</w:t>
      </w:r>
      <w:r>
        <w:rPr>
          <w:rFonts w:hint="eastAsia"/>
          <w:color w:val="auto"/>
          <w:sz w:val="21"/>
          <w:szCs w:val="21"/>
          <w:highlight w:val="none"/>
        </w:rPr>
        <w:t>项目签订采购合同之日止。</w:t>
      </w: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代理人无转委托权。</w:t>
      </w:r>
    </w:p>
    <w:p>
      <w:pPr>
        <w:pStyle w:val="46"/>
        <w:keepNext/>
        <w:spacing w:line="360" w:lineRule="auto"/>
        <w:ind w:firstLine="420" w:firstLineChars="200"/>
        <w:rPr>
          <w:rFonts w:cs="Times New Roman"/>
          <w:color w:val="auto"/>
          <w:sz w:val="21"/>
          <w:szCs w:val="21"/>
          <w:highlight w:val="none"/>
        </w:rPr>
      </w:pPr>
    </w:p>
    <w:p>
      <w:pPr>
        <w:pStyle w:val="46"/>
        <w:keepNext/>
        <w:spacing w:line="360" w:lineRule="auto"/>
        <w:ind w:firstLine="420" w:firstLineChars="200"/>
        <w:rPr>
          <w:rFonts w:cs="Times New Roman"/>
          <w:color w:val="auto"/>
          <w:sz w:val="21"/>
          <w:szCs w:val="21"/>
          <w:highlight w:val="none"/>
        </w:rPr>
      </w:pPr>
      <w:r>
        <w:rPr>
          <w:rFonts w:hint="eastAsia"/>
          <w:color w:val="auto"/>
          <w:sz w:val="21"/>
          <w:szCs w:val="21"/>
          <w:highlight w:val="none"/>
        </w:rPr>
        <w:t>附：法定代表人（单位负责人）身份证复印件及委托代理人身份证复印件。</w:t>
      </w: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lang w:eastAsia="zh-CN"/>
        </w:rPr>
      </w:pP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lang w:eastAsia="zh-CN"/>
        </w:rPr>
      </w:pP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lang w:eastAsia="zh-CN"/>
        </w:rPr>
      </w:pP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lang w:eastAsia="zh-CN"/>
        </w:rPr>
      </w:pP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lang w:eastAsia="zh-CN"/>
        </w:rPr>
      </w:pP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lang w:eastAsia="zh-CN"/>
        </w:rPr>
      </w:pP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lang w:eastAsia="zh-CN"/>
        </w:rPr>
      </w:pP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lang w:eastAsia="zh-CN"/>
        </w:rPr>
      </w:pP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u w:val="single"/>
        </w:rPr>
      </w:pPr>
      <w:r>
        <w:rPr>
          <w:rFonts w:hint="eastAsia"/>
          <w:color w:val="auto"/>
          <w:sz w:val="21"/>
          <w:szCs w:val="21"/>
          <w:highlight w:val="none"/>
        </w:rPr>
        <w:t>供应商：</w:t>
      </w:r>
      <w:r>
        <w:rPr>
          <w:rFonts w:hint="eastAsia"/>
          <w:color w:val="auto"/>
          <w:sz w:val="21"/>
          <w:szCs w:val="21"/>
          <w:highlight w:val="none"/>
          <w:u w:val="single"/>
        </w:rPr>
        <w:t>（盖章）</w:t>
      </w:r>
    </w:p>
    <w:p>
      <w:pPr>
        <w:pStyle w:val="46"/>
        <w:keepNext/>
        <w:tabs>
          <w:tab w:val="left" w:pos="7334"/>
          <w:tab w:val="left" w:pos="7818"/>
          <w:tab w:val="left" w:pos="8558"/>
        </w:tabs>
        <w:spacing w:line="360" w:lineRule="auto"/>
        <w:ind w:firstLine="420" w:firstLineChars="200"/>
        <w:rPr>
          <w:color w:val="auto"/>
          <w:sz w:val="21"/>
          <w:szCs w:val="21"/>
          <w:highlight w:val="none"/>
          <w:u w:val="single"/>
          <w:lang w:eastAsia="zh-CN"/>
        </w:rPr>
      </w:pPr>
      <w:r>
        <w:rPr>
          <w:rFonts w:hint="eastAsia"/>
          <w:color w:val="auto"/>
          <w:sz w:val="21"/>
          <w:szCs w:val="21"/>
          <w:highlight w:val="none"/>
        </w:rPr>
        <w:t>法定代表人：</w:t>
      </w:r>
      <w:r>
        <w:rPr>
          <w:rFonts w:hint="eastAsia"/>
          <w:color w:val="auto"/>
          <w:sz w:val="21"/>
          <w:szCs w:val="21"/>
          <w:highlight w:val="none"/>
          <w:u w:val="single"/>
        </w:rPr>
        <w:t>（签字或盖章）</w:t>
      </w: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u w:val="single"/>
          <w:lang w:eastAsia="zh-CN"/>
        </w:rPr>
      </w:pPr>
      <w:r>
        <w:rPr>
          <w:rFonts w:hint="eastAsia"/>
          <w:color w:val="auto"/>
          <w:sz w:val="21"/>
          <w:szCs w:val="21"/>
          <w:highlight w:val="none"/>
        </w:rPr>
        <w:t>委托代理人：</w:t>
      </w:r>
      <w:r>
        <w:rPr>
          <w:rFonts w:hint="eastAsia"/>
          <w:color w:val="auto"/>
          <w:sz w:val="21"/>
          <w:szCs w:val="21"/>
          <w:highlight w:val="none"/>
          <w:u w:val="single"/>
        </w:rPr>
        <w:t>（签字或盖章）</w:t>
      </w:r>
    </w:p>
    <w:p>
      <w:pPr>
        <w:pStyle w:val="46"/>
        <w:keepNext/>
        <w:tabs>
          <w:tab w:val="left" w:pos="7334"/>
          <w:tab w:val="left" w:pos="7818"/>
          <w:tab w:val="left" w:pos="8558"/>
        </w:tabs>
        <w:spacing w:line="360" w:lineRule="auto"/>
        <w:ind w:firstLine="420" w:firstLineChars="200"/>
        <w:rPr>
          <w:color w:val="auto"/>
          <w:sz w:val="21"/>
          <w:szCs w:val="21"/>
          <w:highlight w:val="none"/>
          <w:u w:val="single"/>
          <w:lang w:eastAsia="zh-CN"/>
        </w:rPr>
      </w:pPr>
    </w:p>
    <w:p>
      <w:pPr>
        <w:pStyle w:val="46"/>
        <w:keepNext/>
        <w:tabs>
          <w:tab w:val="left" w:pos="7334"/>
          <w:tab w:val="left" w:pos="7818"/>
          <w:tab w:val="left" w:pos="8558"/>
        </w:tabs>
        <w:spacing w:line="360" w:lineRule="auto"/>
        <w:ind w:firstLine="420" w:firstLineChars="200"/>
        <w:rPr>
          <w:rFonts w:cs="Times New Roman"/>
          <w:color w:val="auto"/>
          <w:sz w:val="21"/>
          <w:szCs w:val="21"/>
          <w:highlight w:val="none"/>
          <w:u w:val="single"/>
          <w:lang w:eastAsia="zh-CN"/>
        </w:rPr>
      </w:pPr>
    </w:p>
    <w:p>
      <w:pPr>
        <w:pStyle w:val="46"/>
        <w:keepNext/>
        <w:tabs>
          <w:tab w:val="left" w:pos="955"/>
          <w:tab w:val="left" w:pos="2155"/>
          <w:tab w:val="left" w:pos="3355"/>
        </w:tabs>
        <w:spacing w:line="360" w:lineRule="auto"/>
        <w:ind w:firstLine="420" w:firstLineChars="200"/>
        <w:rPr>
          <w:rFonts w:cs="Times New Roman"/>
          <w:color w:val="auto"/>
          <w:sz w:val="21"/>
          <w:szCs w:val="21"/>
          <w:highlight w:val="none"/>
          <w:u w:val="single"/>
        </w:rPr>
      </w:pPr>
    </w:p>
    <w:p>
      <w:pPr>
        <w:pStyle w:val="46"/>
        <w:keepNext/>
        <w:tabs>
          <w:tab w:val="left" w:pos="955"/>
          <w:tab w:val="left" w:pos="2155"/>
          <w:tab w:val="left" w:pos="3355"/>
        </w:tabs>
        <w:spacing w:line="360" w:lineRule="auto"/>
        <w:ind w:firstLine="420" w:firstLineChars="200"/>
        <w:rPr>
          <w:rFonts w:cs="Times New Roman"/>
          <w:color w:val="auto"/>
          <w:sz w:val="21"/>
          <w:szCs w:val="21"/>
          <w:highlight w:val="none"/>
          <w:u w:val="single"/>
        </w:rPr>
      </w:pPr>
    </w:p>
    <w:p>
      <w:pPr>
        <w:pStyle w:val="46"/>
        <w:keepNext/>
        <w:tabs>
          <w:tab w:val="left" w:pos="955"/>
          <w:tab w:val="left" w:pos="2155"/>
          <w:tab w:val="left" w:pos="3355"/>
        </w:tabs>
        <w:spacing w:line="360" w:lineRule="auto"/>
        <w:ind w:firstLine="420" w:firstLineChars="200"/>
        <w:rPr>
          <w:rFonts w:cs="Times New Roman"/>
          <w:color w:val="auto"/>
          <w:sz w:val="24"/>
          <w:szCs w:val="24"/>
          <w:highlight w:val="none"/>
        </w:rPr>
      </w:pPr>
      <w:r>
        <w:rPr>
          <w:rFonts w:hint="eastAsia"/>
          <w:color w:val="auto"/>
          <w:sz w:val="21"/>
          <w:szCs w:val="21"/>
          <w:highlight w:val="none"/>
        </w:rPr>
        <w:t>年月日</w:t>
      </w:r>
    </w:p>
    <w:p>
      <w:pPr>
        <w:pStyle w:val="46"/>
        <w:keepNext/>
        <w:tabs>
          <w:tab w:val="left" w:pos="955"/>
          <w:tab w:val="left" w:pos="2155"/>
          <w:tab w:val="left" w:pos="3355"/>
        </w:tabs>
        <w:spacing w:line="360" w:lineRule="auto"/>
        <w:ind w:firstLine="480" w:firstLineChars="200"/>
        <w:rPr>
          <w:rFonts w:cs="Times New Roman"/>
          <w:color w:val="auto"/>
          <w:sz w:val="24"/>
          <w:szCs w:val="24"/>
          <w:highlight w:val="none"/>
        </w:rPr>
      </w:pPr>
    </w:p>
    <w:p>
      <w:pPr>
        <w:pStyle w:val="4"/>
        <w:keepLines w:val="0"/>
        <w:spacing w:before="0" w:after="0" w:line="360" w:lineRule="auto"/>
        <w:rPr>
          <w:color w:val="auto"/>
          <w:highlight w:val="none"/>
          <w:lang w:eastAsia="zh-CN"/>
        </w:rPr>
      </w:pPr>
      <w:r>
        <w:rPr>
          <w:color w:val="auto"/>
          <w:highlight w:val="none"/>
          <w:lang w:eastAsia="zh-CN"/>
        </w:rPr>
        <w:br w:type="page"/>
      </w:r>
    </w:p>
    <w:p>
      <w:pPr>
        <w:pStyle w:val="4"/>
        <w:keepLines w:val="0"/>
        <w:spacing w:before="0" w:after="0" w:line="360" w:lineRule="auto"/>
        <w:jc w:val="center"/>
        <w:rPr>
          <w:rFonts w:ascii="宋体"/>
          <w:color w:val="auto"/>
          <w:sz w:val="28"/>
          <w:szCs w:val="28"/>
          <w:highlight w:val="none"/>
          <w:lang w:eastAsia="zh-CN"/>
        </w:rPr>
      </w:pPr>
      <w:bookmarkStart w:id="526" w:name="bookmark607"/>
      <w:bookmarkStart w:id="527" w:name="bookmark609"/>
      <w:bookmarkStart w:id="528" w:name="_Toc79479666"/>
      <w:bookmarkStart w:id="529" w:name="bookmark606"/>
      <w:bookmarkStart w:id="530" w:name="_Toc14609"/>
      <w:bookmarkStart w:id="531" w:name="_Toc8631"/>
      <w:r>
        <w:rPr>
          <w:rFonts w:hint="eastAsia" w:ascii="宋体" w:hAnsi="宋体" w:cs="宋体"/>
          <w:color w:val="auto"/>
          <w:sz w:val="28"/>
          <w:szCs w:val="28"/>
          <w:highlight w:val="none"/>
          <w:lang w:eastAsia="zh-CN"/>
        </w:rPr>
        <w:t>三、商务和技术偏差表</w:t>
      </w:r>
      <w:bookmarkEnd w:id="526"/>
      <w:bookmarkEnd w:id="527"/>
      <w:bookmarkEnd w:id="528"/>
      <w:bookmarkEnd w:id="529"/>
      <w:bookmarkEnd w:id="530"/>
      <w:bookmarkEnd w:id="531"/>
    </w:p>
    <w:tbl>
      <w:tblPr>
        <w:tblStyle w:val="26"/>
        <w:tblW w:w="5000" w:type="pct"/>
        <w:jc w:val="center"/>
        <w:tblLayout w:type="autofit"/>
        <w:tblCellMar>
          <w:top w:w="0" w:type="dxa"/>
          <w:left w:w="10" w:type="dxa"/>
          <w:bottom w:w="0" w:type="dxa"/>
          <w:right w:w="10" w:type="dxa"/>
        </w:tblCellMar>
      </w:tblPr>
      <w:tblGrid>
        <w:gridCol w:w="1049"/>
        <w:gridCol w:w="2856"/>
        <w:gridCol w:w="2851"/>
        <w:gridCol w:w="1570"/>
      </w:tblGrid>
      <w:tr>
        <w:tblPrEx>
          <w:tblCellMar>
            <w:top w:w="0" w:type="dxa"/>
            <w:left w:w="10" w:type="dxa"/>
            <w:bottom w:w="0" w:type="dxa"/>
            <w:right w:w="10" w:type="dxa"/>
          </w:tblCellMar>
        </w:tblPrEx>
        <w:trPr>
          <w:trHeight w:val="586" w:hRule="exact"/>
          <w:jc w:val="center"/>
        </w:trPr>
        <w:tc>
          <w:tcPr>
            <w:tcW w:w="630" w:type="pct"/>
            <w:tcBorders>
              <w:top w:val="single" w:color="auto" w:sz="4" w:space="0"/>
              <w:left w:val="single" w:color="auto" w:sz="4" w:space="0"/>
            </w:tcBorders>
            <w:shd w:val="clear" w:color="auto" w:fill="FFFFFF"/>
            <w:vAlign w:val="center"/>
          </w:tcPr>
          <w:p>
            <w:pPr>
              <w:pStyle w:val="50"/>
              <w:keepNext/>
              <w:spacing w:line="360" w:lineRule="auto"/>
              <w:ind w:firstLine="0"/>
              <w:jc w:val="center"/>
              <w:rPr>
                <w:rFonts w:cs="Times New Roman"/>
                <w:color w:val="auto"/>
                <w:sz w:val="21"/>
                <w:szCs w:val="21"/>
                <w:highlight w:val="none"/>
              </w:rPr>
            </w:pPr>
            <w:r>
              <w:rPr>
                <w:rFonts w:hint="eastAsia"/>
                <w:color w:val="auto"/>
                <w:sz w:val="21"/>
                <w:szCs w:val="21"/>
                <w:highlight w:val="none"/>
              </w:rPr>
              <w:t>序号</w:t>
            </w:r>
          </w:p>
        </w:tc>
        <w:tc>
          <w:tcPr>
            <w:tcW w:w="1715" w:type="pct"/>
            <w:tcBorders>
              <w:top w:val="single" w:color="auto" w:sz="4" w:space="0"/>
              <w:left w:val="single" w:color="auto" w:sz="4" w:space="0"/>
            </w:tcBorders>
            <w:shd w:val="clear" w:color="auto" w:fill="FFFFFF"/>
            <w:vAlign w:val="center"/>
          </w:tcPr>
          <w:p>
            <w:pPr>
              <w:pStyle w:val="50"/>
              <w:keepNext/>
              <w:spacing w:line="360" w:lineRule="auto"/>
              <w:ind w:firstLine="0"/>
              <w:jc w:val="center"/>
              <w:rPr>
                <w:rFonts w:cs="Times New Roman"/>
                <w:color w:val="auto"/>
                <w:sz w:val="21"/>
                <w:szCs w:val="21"/>
                <w:highlight w:val="none"/>
              </w:rPr>
            </w:pPr>
            <w:r>
              <w:rPr>
                <w:rFonts w:hint="eastAsia"/>
                <w:color w:val="auto"/>
                <w:sz w:val="21"/>
                <w:szCs w:val="21"/>
                <w:highlight w:val="none"/>
              </w:rPr>
              <w:t>采购文件章节及条款号</w:t>
            </w:r>
          </w:p>
        </w:tc>
        <w:tc>
          <w:tcPr>
            <w:tcW w:w="1712" w:type="pct"/>
            <w:tcBorders>
              <w:top w:val="single" w:color="auto" w:sz="4" w:space="0"/>
              <w:left w:val="single" w:color="auto" w:sz="4" w:space="0"/>
            </w:tcBorders>
            <w:shd w:val="clear" w:color="auto" w:fill="FFFFFF"/>
            <w:vAlign w:val="center"/>
          </w:tcPr>
          <w:p>
            <w:pPr>
              <w:pStyle w:val="50"/>
              <w:keepNext/>
              <w:spacing w:line="360" w:lineRule="auto"/>
              <w:ind w:firstLine="0"/>
              <w:jc w:val="center"/>
              <w:rPr>
                <w:rFonts w:cs="Times New Roman"/>
                <w:color w:val="auto"/>
                <w:sz w:val="21"/>
                <w:szCs w:val="21"/>
                <w:highlight w:val="none"/>
              </w:rPr>
            </w:pPr>
            <w:r>
              <w:rPr>
                <w:rFonts w:hint="eastAsia"/>
                <w:color w:val="auto"/>
                <w:sz w:val="21"/>
                <w:szCs w:val="21"/>
                <w:highlight w:val="none"/>
              </w:rPr>
              <w:t>响应文件章节及条款号</w:t>
            </w:r>
          </w:p>
        </w:tc>
        <w:tc>
          <w:tcPr>
            <w:tcW w:w="943" w:type="pct"/>
            <w:tcBorders>
              <w:top w:val="single" w:color="auto" w:sz="4" w:space="0"/>
              <w:left w:val="single" w:color="auto" w:sz="4" w:space="0"/>
              <w:right w:val="single" w:color="auto" w:sz="4" w:space="0"/>
            </w:tcBorders>
            <w:shd w:val="clear" w:color="auto" w:fill="FFFFFF"/>
            <w:vAlign w:val="center"/>
          </w:tcPr>
          <w:p>
            <w:pPr>
              <w:pStyle w:val="50"/>
              <w:keepNext/>
              <w:spacing w:line="360" w:lineRule="auto"/>
              <w:ind w:firstLine="0"/>
              <w:jc w:val="center"/>
              <w:rPr>
                <w:rFonts w:cs="Times New Roman"/>
                <w:color w:val="auto"/>
                <w:sz w:val="21"/>
                <w:szCs w:val="21"/>
                <w:highlight w:val="none"/>
              </w:rPr>
            </w:pPr>
            <w:r>
              <w:rPr>
                <w:rFonts w:hint="eastAsia"/>
                <w:color w:val="auto"/>
                <w:sz w:val="21"/>
                <w:szCs w:val="21"/>
                <w:highlight w:val="none"/>
              </w:rPr>
              <w:t>偏差说明</w:t>
            </w:r>
          </w:p>
        </w:tc>
      </w:tr>
      <w:tr>
        <w:tblPrEx>
          <w:tblCellMar>
            <w:top w:w="0" w:type="dxa"/>
            <w:left w:w="10" w:type="dxa"/>
            <w:bottom w:w="0" w:type="dxa"/>
            <w:right w:w="10" w:type="dxa"/>
          </w:tblCellMar>
        </w:tblPrEx>
        <w:trPr>
          <w:trHeight w:val="566" w:hRule="exact"/>
          <w:jc w:val="center"/>
        </w:trPr>
        <w:tc>
          <w:tcPr>
            <w:tcW w:w="630" w:type="pct"/>
            <w:tcBorders>
              <w:top w:val="single" w:color="auto" w:sz="4" w:space="0"/>
              <w:left w:val="single" w:color="auto" w:sz="4" w:space="0"/>
            </w:tcBorders>
            <w:shd w:val="clear" w:color="auto" w:fill="FFFFFF"/>
            <w:vAlign w:val="center"/>
          </w:tcPr>
          <w:p>
            <w:pPr>
              <w:pStyle w:val="50"/>
              <w:keepNext/>
              <w:spacing w:line="360" w:lineRule="auto"/>
              <w:ind w:firstLine="0"/>
              <w:jc w:val="center"/>
              <w:rPr>
                <w:color w:val="auto"/>
                <w:sz w:val="21"/>
                <w:szCs w:val="21"/>
                <w:highlight w:val="none"/>
              </w:rPr>
            </w:pPr>
            <w:r>
              <w:rPr>
                <w:color w:val="auto"/>
                <w:sz w:val="21"/>
                <w:szCs w:val="21"/>
                <w:highlight w:val="none"/>
              </w:rPr>
              <w:t>1</w:t>
            </w:r>
          </w:p>
        </w:tc>
        <w:tc>
          <w:tcPr>
            <w:tcW w:w="1715" w:type="pct"/>
            <w:tcBorders>
              <w:top w:val="single" w:color="auto" w:sz="4" w:space="0"/>
              <w:left w:val="single" w:color="auto" w:sz="4" w:space="0"/>
            </w:tcBorders>
            <w:shd w:val="clear" w:color="auto" w:fill="FFFFFF"/>
          </w:tcPr>
          <w:p>
            <w:pPr>
              <w:keepNext/>
              <w:spacing w:line="360" w:lineRule="auto"/>
              <w:jc w:val="center"/>
              <w:rPr>
                <w:rFonts w:ascii="宋体"/>
                <w:color w:val="auto"/>
                <w:sz w:val="21"/>
                <w:szCs w:val="21"/>
                <w:highlight w:val="none"/>
              </w:rPr>
            </w:pPr>
          </w:p>
        </w:tc>
        <w:tc>
          <w:tcPr>
            <w:tcW w:w="1712" w:type="pct"/>
            <w:tcBorders>
              <w:top w:val="single" w:color="auto" w:sz="4" w:space="0"/>
              <w:left w:val="single" w:color="auto" w:sz="4" w:space="0"/>
            </w:tcBorders>
            <w:shd w:val="clear" w:color="auto" w:fill="FFFFFF"/>
          </w:tcPr>
          <w:p>
            <w:pPr>
              <w:keepNext/>
              <w:spacing w:line="360" w:lineRule="auto"/>
              <w:jc w:val="center"/>
              <w:rPr>
                <w:rFonts w:ascii="宋体"/>
                <w:color w:val="auto"/>
                <w:sz w:val="21"/>
                <w:szCs w:val="21"/>
                <w:highlight w:val="none"/>
              </w:rPr>
            </w:pPr>
          </w:p>
        </w:tc>
        <w:tc>
          <w:tcPr>
            <w:tcW w:w="943" w:type="pct"/>
            <w:tcBorders>
              <w:top w:val="single" w:color="auto" w:sz="4" w:space="0"/>
              <w:left w:val="single" w:color="auto" w:sz="4" w:space="0"/>
              <w:right w:val="single" w:color="auto" w:sz="4" w:space="0"/>
            </w:tcBorders>
            <w:shd w:val="clear" w:color="auto" w:fill="FFFFFF"/>
          </w:tcPr>
          <w:p>
            <w:pPr>
              <w:keepNext/>
              <w:spacing w:line="360" w:lineRule="auto"/>
              <w:jc w:val="center"/>
              <w:rPr>
                <w:rFonts w:ascii="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630" w:type="pct"/>
            <w:tcBorders>
              <w:top w:val="single" w:color="auto" w:sz="4" w:space="0"/>
              <w:left w:val="single" w:color="auto" w:sz="4" w:space="0"/>
            </w:tcBorders>
            <w:shd w:val="clear" w:color="auto" w:fill="FFFFFF"/>
            <w:vAlign w:val="center"/>
          </w:tcPr>
          <w:p>
            <w:pPr>
              <w:pStyle w:val="50"/>
              <w:keepNext/>
              <w:spacing w:line="360" w:lineRule="auto"/>
              <w:ind w:firstLine="0"/>
              <w:jc w:val="center"/>
              <w:rPr>
                <w:color w:val="auto"/>
                <w:sz w:val="21"/>
                <w:szCs w:val="21"/>
                <w:highlight w:val="none"/>
              </w:rPr>
            </w:pPr>
            <w:r>
              <w:rPr>
                <w:color w:val="auto"/>
                <w:sz w:val="21"/>
                <w:szCs w:val="21"/>
                <w:highlight w:val="none"/>
              </w:rPr>
              <w:t>2</w:t>
            </w:r>
          </w:p>
        </w:tc>
        <w:tc>
          <w:tcPr>
            <w:tcW w:w="1715" w:type="pct"/>
            <w:tcBorders>
              <w:top w:val="single" w:color="auto" w:sz="4" w:space="0"/>
              <w:left w:val="single" w:color="auto" w:sz="4" w:space="0"/>
            </w:tcBorders>
            <w:shd w:val="clear" w:color="auto" w:fill="FFFFFF"/>
          </w:tcPr>
          <w:p>
            <w:pPr>
              <w:keepNext/>
              <w:spacing w:line="360" w:lineRule="auto"/>
              <w:jc w:val="center"/>
              <w:rPr>
                <w:rFonts w:ascii="宋体"/>
                <w:color w:val="auto"/>
                <w:sz w:val="21"/>
                <w:szCs w:val="21"/>
                <w:highlight w:val="none"/>
              </w:rPr>
            </w:pPr>
          </w:p>
        </w:tc>
        <w:tc>
          <w:tcPr>
            <w:tcW w:w="1712" w:type="pct"/>
            <w:tcBorders>
              <w:top w:val="single" w:color="auto" w:sz="4" w:space="0"/>
              <w:left w:val="single" w:color="auto" w:sz="4" w:space="0"/>
            </w:tcBorders>
            <w:shd w:val="clear" w:color="auto" w:fill="FFFFFF"/>
          </w:tcPr>
          <w:p>
            <w:pPr>
              <w:keepNext/>
              <w:spacing w:line="360" w:lineRule="auto"/>
              <w:jc w:val="center"/>
              <w:rPr>
                <w:rFonts w:ascii="宋体"/>
                <w:color w:val="auto"/>
                <w:sz w:val="21"/>
                <w:szCs w:val="21"/>
                <w:highlight w:val="none"/>
              </w:rPr>
            </w:pPr>
          </w:p>
        </w:tc>
        <w:tc>
          <w:tcPr>
            <w:tcW w:w="943" w:type="pct"/>
            <w:tcBorders>
              <w:top w:val="single" w:color="auto" w:sz="4" w:space="0"/>
              <w:left w:val="single" w:color="auto" w:sz="4" w:space="0"/>
              <w:right w:val="single" w:color="auto" w:sz="4" w:space="0"/>
            </w:tcBorders>
            <w:shd w:val="clear" w:color="auto" w:fill="FFFFFF"/>
          </w:tcPr>
          <w:p>
            <w:pPr>
              <w:keepNext/>
              <w:spacing w:line="360" w:lineRule="auto"/>
              <w:jc w:val="center"/>
              <w:rPr>
                <w:rFonts w:ascii="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630" w:type="pct"/>
            <w:tcBorders>
              <w:top w:val="single" w:color="auto" w:sz="4" w:space="0"/>
              <w:left w:val="single" w:color="auto" w:sz="4" w:space="0"/>
            </w:tcBorders>
            <w:shd w:val="clear" w:color="auto" w:fill="FFFFFF"/>
            <w:vAlign w:val="center"/>
          </w:tcPr>
          <w:p>
            <w:pPr>
              <w:pStyle w:val="50"/>
              <w:keepNext/>
              <w:spacing w:line="360" w:lineRule="auto"/>
              <w:ind w:firstLine="0"/>
              <w:jc w:val="center"/>
              <w:rPr>
                <w:color w:val="auto"/>
                <w:sz w:val="21"/>
                <w:szCs w:val="21"/>
                <w:highlight w:val="none"/>
              </w:rPr>
            </w:pPr>
            <w:r>
              <w:rPr>
                <w:color w:val="auto"/>
                <w:sz w:val="21"/>
                <w:szCs w:val="21"/>
                <w:highlight w:val="none"/>
              </w:rPr>
              <w:t>3</w:t>
            </w:r>
          </w:p>
        </w:tc>
        <w:tc>
          <w:tcPr>
            <w:tcW w:w="1715" w:type="pct"/>
            <w:tcBorders>
              <w:top w:val="single" w:color="auto" w:sz="4" w:space="0"/>
              <w:left w:val="single" w:color="auto" w:sz="4" w:space="0"/>
            </w:tcBorders>
            <w:shd w:val="clear" w:color="auto" w:fill="FFFFFF"/>
          </w:tcPr>
          <w:p>
            <w:pPr>
              <w:keepNext/>
              <w:spacing w:line="360" w:lineRule="auto"/>
              <w:jc w:val="center"/>
              <w:rPr>
                <w:rFonts w:ascii="宋体"/>
                <w:color w:val="auto"/>
                <w:sz w:val="21"/>
                <w:szCs w:val="21"/>
                <w:highlight w:val="none"/>
              </w:rPr>
            </w:pPr>
          </w:p>
        </w:tc>
        <w:tc>
          <w:tcPr>
            <w:tcW w:w="1712" w:type="pct"/>
            <w:tcBorders>
              <w:top w:val="single" w:color="auto" w:sz="4" w:space="0"/>
              <w:left w:val="single" w:color="auto" w:sz="4" w:space="0"/>
            </w:tcBorders>
            <w:shd w:val="clear" w:color="auto" w:fill="FFFFFF"/>
          </w:tcPr>
          <w:p>
            <w:pPr>
              <w:keepNext/>
              <w:spacing w:line="360" w:lineRule="auto"/>
              <w:jc w:val="center"/>
              <w:rPr>
                <w:rFonts w:ascii="宋体"/>
                <w:color w:val="auto"/>
                <w:sz w:val="21"/>
                <w:szCs w:val="21"/>
                <w:highlight w:val="none"/>
              </w:rPr>
            </w:pPr>
          </w:p>
        </w:tc>
        <w:tc>
          <w:tcPr>
            <w:tcW w:w="943" w:type="pct"/>
            <w:tcBorders>
              <w:top w:val="single" w:color="auto" w:sz="4" w:space="0"/>
              <w:left w:val="single" w:color="auto" w:sz="4" w:space="0"/>
              <w:right w:val="single" w:color="auto" w:sz="4" w:space="0"/>
            </w:tcBorders>
            <w:shd w:val="clear" w:color="auto" w:fill="FFFFFF"/>
          </w:tcPr>
          <w:p>
            <w:pPr>
              <w:keepNext/>
              <w:spacing w:line="360" w:lineRule="auto"/>
              <w:jc w:val="center"/>
              <w:rPr>
                <w:rFonts w:ascii="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630" w:type="pct"/>
            <w:tcBorders>
              <w:top w:val="single" w:color="auto" w:sz="4" w:space="0"/>
              <w:left w:val="single" w:color="auto" w:sz="4" w:space="0"/>
            </w:tcBorders>
            <w:shd w:val="clear" w:color="auto" w:fill="FFFFFF"/>
            <w:vAlign w:val="center"/>
          </w:tcPr>
          <w:p>
            <w:pPr>
              <w:pStyle w:val="50"/>
              <w:keepNext/>
              <w:spacing w:line="360" w:lineRule="auto"/>
              <w:ind w:firstLine="0"/>
              <w:jc w:val="center"/>
              <w:rPr>
                <w:color w:val="auto"/>
                <w:sz w:val="21"/>
                <w:szCs w:val="21"/>
                <w:highlight w:val="none"/>
              </w:rPr>
            </w:pPr>
            <w:r>
              <w:rPr>
                <w:color w:val="auto"/>
                <w:sz w:val="21"/>
                <w:szCs w:val="21"/>
                <w:highlight w:val="none"/>
              </w:rPr>
              <w:t>4</w:t>
            </w:r>
          </w:p>
        </w:tc>
        <w:tc>
          <w:tcPr>
            <w:tcW w:w="1715" w:type="pct"/>
            <w:tcBorders>
              <w:top w:val="single" w:color="auto" w:sz="4" w:space="0"/>
              <w:left w:val="single" w:color="auto" w:sz="4" w:space="0"/>
            </w:tcBorders>
            <w:shd w:val="clear" w:color="auto" w:fill="FFFFFF"/>
          </w:tcPr>
          <w:p>
            <w:pPr>
              <w:keepNext/>
              <w:spacing w:line="360" w:lineRule="auto"/>
              <w:jc w:val="center"/>
              <w:rPr>
                <w:rFonts w:ascii="宋体"/>
                <w:color w:val="auto"/>
                <w:sz w:val="21"/>
                <w:szCs w:val="21"/>
                <w:highlight w:val="none"/>
              </w:rPr>
            </w:pPr>
          </w:p>
        </w:tc>
        <w:tc>
          <w:tcPr>
            <w:tcW w:w="1712" w:type="pct"/>
            <w:tcBorders>
              <w:top w:val="single" w:color="auto" w:sz="4" w:space="0"/>
              <w:left w:val="single" w:color="auto" w:sz="4" w:space="0"/>
            </w:tcBorders>
            <w:shd w:val="clear" w:color="auto" w:fill="FFFFFF"/>
          </w:tcPr>
          <w:p>
            <w:pPr>
              <w:keepNext/>
              <w:spacing w:line="360" w:lineRule="auto"/>
              <w:jc w:val="center"/>
              <w:rPr>
                <w:rFonts w:ascii="宋体"/>
                <w:color w:val="auto"/>
                <w:sz w:val="21"/>
                <w:szCs w:val="21"/>
                <w:highlight w:val="none"/>
              </w:rPr>
            </w:pPr>
          </w:p>
        </w:tc>
        <w:tc>
          <w:tcPr>
            <w:tcW w:w="943" w:type="pct"/>
            <w:tcBorders>
              <w:top w:val="single" w:color="auto" w:sz="4" w:space="0"/>
              <w:left w:val="single" w:color="auto" w:sz="4" w:space="0"/>
              <w:right w:val="single" w:color="auto" w:sz="4" w:space="0"/>
            </w:tcBorders>
            <w:shd w:val="clear" w:color="auto" w:fill="FFFFFF"/>
          </w:tcPr>
          <w:p>
            <w:pPr>
              <w:keepNext/>
              <w:spacing w:line="360" w:lineRule="auto"/>
              <w:jc w:val="center"/>
              <w:rPr>
                <w:rFonts w:ascii="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630" w:type="pct"/>
            <w:tcBorders>
              <w:top w:val="single" w:color="auto" w:sz="4" w:space="0"/>
              <w:left w:val="single" w:color="auto" w:sz="4" w:space="0"/>
            </w:tcBorders>
            <w:shd w:val="clear" w:color="auto" w:fill="FFFFFF"/>
            <w:vAlign w:val="center"/>
          </w:tcPr>
          <w:p>
            <w:pPr>
              <w:pStyle w:val="50"/>
              <w:keepNext/>
              <w:spacing w:line="360" w:lineRule="auto"/>
              <w:ind w:firstLine="0"/>
              <w:jc w:val="center"/>
              <w:rPr>
                <w:color w:val="auto"/>
                <w:sz w:val="21"/>
                <w:szCs w:val="21"/>
                <w:highlight w:val="none"/>
              </w:rPr>
            </w:pPr>
            <w:r>
              <w:rPr>
                <w:color w:val="auto"/>
                <w:sz w:val="21"/>
                <w:szCs w:val="21"/>
                <w:highlight w:val="none"/>
              </w:rPr>
              <w:t>5</w:t>
            </w:r>
          </w:p>
        </w:tc>
        <w:tc>
          <w:tcPr>
            <w:tcW w:w="1715" w:type="pct"/>
            <w:tcBorders>
              <w:top w:val="single" w:color="auto" w:sz="4" w:space="0"/>
              <w:left w:val="single" w:color="auto" w:sz="4" w:space="0"/>
            </w:tcBorders>
            <w:shd w:val="clear" w:color="auto" w:fill="FFFFFF"/>
          </w:tcPr>
          <w:p>
            <w:pPr>
              <w:keepNext/>
              <w:spacing w:line="360" w:lineRule="auto"/>
              <w:jc w:val="center"/>
              <w:rPr>
                <w:rFonts w:ascii="宋体"/>
                <w:color w:val="auto"/>
                <w:sz w:val="21"/>
                <w:szCs w:val="21"/>
                <w:highlight w:val="none"/>
              </w:rPr>
            </w:pPr>
          </w:p>
        </w:tc>
        <w:tc>
          <w:tcPr>
            <w:tcW w:w="1712" w:type="pct"/>
            <w:tcBorders>
              <w:top w:val="single" w:color="auto" w:sz="4" w:space="0"/>
              <w:left w:val="single" w:color="auto" w:sz="4" w:space="0"/>
            </w:tcBorders>
            <w:shd w:val="clear" w:color="auto" w:fill="FFFFFF"/>
          </w:tcPr>
          <w:p>
            <w:pPr>
              <w:keepNext/>
              <w:spacing w:line="360" w:lineRule="auto"/>
              <w:jc w:val="center"/>
              <w:rPr>
                <w:rFonts w:ascii="宋体"/>
                <w:color w:val="auto"/>
                <w:sz w:val="21"/>
                <w:szCs w:val="21"/>
                <w:highlight w:val="none"/>
              </w:rPr>
            </w:pPr>
          </w:p>
        </w:tc>
        <w:tc>
          <w:tcPr>
            <w:tcW w:w="943" w:type="pct"/>
            <w:tcBorders>
              <w:top w:val="single" w:color="auto" w:sz="4" w:space="0"/>
              <w:left w:val="single" w:color="auto" w:sz="4" w:space="0"/>
              <w:right w:val="single" w:color="auto" w:sz="4" w:space="0"/>
            </w:tcBorders>
            <w:shd w:val="clear" w:color="auto" w:fill="FFFFFF"/>
          </w:tcPr>
          <w:p>
            <w:pPr>
              <w:keepNext/>
              <w:spacing w:line="360" w:lineRule="auto"/>
              <w:jc w:val="center"/>
              <w:rPr>
                <w:rFonts w:ascii="宋体"/>
                <w:color w:val="auto"/>
                <w:sz w:val="21"/>
                <w:szCs w:val="21"/>
                <w:highlight w:val="none"/>
              </w:rPr>
            </w:pPr>
          </w:p>
        </w:tc>
      </w:tr>
      <w:tr>
        <w:tblPrEx>
          <w:tblCellMar>
            <w:top w:w="0" w:type="dxa"/>
            <w:left w:w="10" w:type="dxa"/>
            <w:bottom w:w="0" w:type="dxa"/>
            <w:right w:w="10" w:type="dxa"/>
          </w:tblCellMar>
        </w:tblPrEx>
        <w:trPr>
          <w:trHeight w:val="586" w:hRule="exact"/>
          <w:jc w:val="center"/>
        </w:trPr>
        <w:tc>
          <w:tcPr>
            <w:tcW w:w="630" w:type="pct"/>
            <w:tcBorders>
              <w:top w:val="single" w:color="auto" w:sz="4" w:space="0"/>
              <w:left w:val="single" w:color="auto" w:sz="4" w:space="0"/>
              <w:bottom w:val="single" w:color="auto" w:sz="4" w:space="0"/>
            </w:tcBorders>
            <w:shd w:val="clear" w:color="auto" w:fill="FFFFFF"/>
            <w:vAlign w:val="center"/>
          </w:tcPr>
          <w:p>
            <w:pPr>
              <w:pStyle w:val="50"/>
              <w:keepNext/>
              <w:tabs>
                <w:tab w:val="left" w:leader="dot" w:pos="379"/>
              </w:tabs>
              <w:spacing w:line="360" w:lineRule="auto"/>
              <w:ind w:firstLine="0"/>
              <w:jc w:val="center"/>
              <w:rPr>
                <w:rFonts w:cs="Times New Roman"/>
                <w:color w:val="auto"/>
                <w:sz w:val="21"/>
                <w:szCs w:val="21"/>
                <w:highlight w:val="none"/>
              </w:rPr>
            </w:pPr>
            <w:r>
              <w:rPr>
                <w:rFonts w:hint="eastAsia"/>
                <w:color w:val="auto"/>
                <w:sz w:val="21"/>
                <w:szCs w:val="21"/>
                <w:highlight w:val="none"/>
              </w:rPr>
              <w:t>……</w:t>
            </w:r>
          </w:p>
        </w:tc>
        <w:tc>
          <w:tcPr>
            <w:tcW w:w="1715" w:type="pct"/>
            <w:tcBorders>
              <w:top w:val="single" w:color="auto" w:sz="4" w:space="0"/>
              <w:left w:val="single" w:color="auto" w:sz="4" w:space="0"/>
              <w:bottom w:val="single" w:color="auto" w:sz="4" w:space="0"/>
            </w:tcBorders>
            <w:shd w:val="clear" w:color="auto" w:fill="FFFFFF"/>
          </w:tcPr>
          <w:p>
            <w:pPr>
              <w:keepNext/>
              <w:spacing w:line="360" w:lineRule="auto"/>
              <w:jc w:val="center"/>
              <w:rPr>
                <w:rFonts w:ascii="宋体"/>
                <w:color w:val="auto"/>
                <w:sz w:val="21"/>
                <w:szCs w:val="21"/>
                <w:highlight w:val="none"/>
              </w:rPr>
            </w:pPr>
          </w:p>
        </w:tc>
        <w:tc>
          <w:tcPr>
            <w:tcW w:w="1712" w:type="pct"/>
            <w:tcBorders>
              <w:top w:val="single" w:color="auto" w:sz="4" w:space="0"/>
              <w:left w:val="single" w:color="auto" w:sz="4" w:space="0"/>
              <w:bottom w:val="single" w:color="auto" w:sz="4" w:space="0"/>
            </w:tcBorders>
            <w:shd w:val="clear" w:color="auto" w:fill="FFFFFF"/>
          </w:tcPr>
          <w:p>
            <w:pPr>
              <w:keepNext/>
              <w:spacing w:line="360" w:lineRule="auto"/>
              <w:jc w:val="center"/>
              <w:rPr>
                <w:rFonts w:ascii="宋体"/>
                <w:color w:val="auto"/>
                <w:sz w:val="21"/>
                <w:szCs w:val="21"/>
                <w:highlight w:val="none"/>
              </w:rPr>
            </w:pPr>
          </w:p>
        </w:tc>
        <w:tc>
          <w:tcPr>
            <w:tcW w:w="943" w:type="pct"/>
            <w:tcBorders>
              <w:top w:val="single" w:color="auto" w:sz="4" w:space="0"/>
              <w:left w:val="single" w:color="auto" w:sz="4" w:space="0"/>
              <w:bottom w:val="single" w:color="auto" w:sz="4" w:space="0"/>
              <w:right w:val="single" w:color="auto" w:sz="4" w:space="0"/>
            </w:tcBorders>
            <w:shd w:val="clear" w:color="auto" w:fill="FFFFFF"/>
          </w:tcPr>
          <w:p>
            <w:pPr>
              <w:keepNext/>
              <w:spacing w:line="360" w:lineRule="auto"/>
              <w:jc w:val="center"/>
              <w:rPr>
                <w:rFonts w:ascii="宋体"/>
                <w:color w:val="auto"/>
                <w:sz w:val="21"/>
                <w:szCs w:val="21"/>
                <w:highlight w:val="none"/>
              </w:rPr>
            </w:pPr>
          </w:p>
        </w:tc>
      </w:tr>
    </w:tbl>
    <w:p>
      <w:pPr>
        <w:keepNext/>
        <w:spacing w:line="360" w:lineRule="auto"/>
        <w:ind w:firstLine="420" w:firstLineChars="200"/>
        <w:rPr>
          <w:rFonts w:ascii="宋体"/>
          <w:color w:val="auto"/>
          <w:sz w:val="21"/>
          <w:szCs w:val="21"/>
          <w:highlight w:val="none"/>
        </w:rPr>
      </w:pPr>
    </w:p>
    <w:p>
      <w:pPr>
        <w:pStyle w:val="46"/>
        <w:keepNext/>
        <w:spacing w:line="360" w:lineRule="auto"/>
        <w:ind w:firstLine="420" w:firstLineChars="200"/>
        <w:jc w:val="both"/>
        <w:rPr>
          <w:color w:val="auto"/>
          <w:sz w:val="21"/>
          <w:szCs w:val="21"/>
          <w:highlight w:val="none"/>
          <w:lang w:eastAsia="zh-CN"/>
        </w:rPr>
      </w:pPr>
      <w:r>
        <w:rPr>
          <w:rFonts w:hint="eastAsia"/>
          <w:color w:val="auto"/>
          <w:sz w:val="21"/>
          <w:szCs w:val="21"/>
          <w:highlight w:val="none"/>
        </w:rPr>
        <w:t>供应商保证：除商务和技术偏差表列出的偏差外，供应商响应采购文件的全部要求。</w:t>
      </w:r>
    </w:p>
    <w:p>
      <w:pPr>
        <w:pStyle w:val="46"/>
        <w:keepNext/>
        <w:spacing w:line="360" w:lineRule="auto"/>
        <w:ind w:firstLine="420" w:firstLineChars="200"/>
        <w:jc w:val="both"/>
        <w:rPr>
          <w:rFonts w:cs="Times New Roman"/>
          <w:color w:val="auto"/>
          <w:sz w:val="21"/>
          <w:szCs w:val="21"/>
          <w:highlight w:val="none"/>
          <w:lang w:eastAsia="zh-CN"/>
        </w:rPr>
      </w:pPr>
      <w:r>
        <w:rPr>
          <w:rFonts w:hint="eastAsia"/>
          <w:color w:val="auto"/>
          <w:sz w:val="21"/>
          <w:szCs w:val="21"/>
          <w:highlight w:val="none"/>
          <w:lang w:eastAsia="zh-CN"/>
        </w:rPr>
        <w:t>如无偏差，可以表格任意地方写“无“。</w:t>
      </w:r>
    </w:p>
    <w:p>
      <w:pPr>
        <w:keepNext/>
        <w:rPr>
          <w:rFonts w:ascii="宋体"/>
          <w:color w:val="auto"/>
          <w:highlight w:val="none"/>
          <w:lang w:eastAsia="zh-CN"/>
        </w:rPr>
      </w:pPr>
      <w:r>
        <w:rPr>
          <w:rFonts w:ascii="宋体"/>
          <w:color w:val="auto"/>
          <w:highlight w:val="none"/>
          <w:lang w:eastAsia="zh-CN"/>
        </w:rPr>
        <w:br w:type="page"/>
      </w:r>
    </w:p>
    <w:p>
      <w:pPr>
        <w:spacing w:line="360" w:lineRule="auto"/>
        <w:jc w:val="center"/>
        <w:rPr>
          <w:rFonts w:ascii="宋体" w:hAnsi="宋体" w:cs="宋体"/>
          <w:b/>
          <w:bCs/>
          <w:color w:val="1A1A23"/>
          <w:sz w:val="30"/>
          <w:szCs w:val="30"/>
          <w:highlight w:val="none"/>
          <w:lang w:eastAsia="zh-CN"/>
        </w:rPr>
      </w:pPr>
      <w:bookmarkStart w:id="532" w:name="bookmark626"/>
      <w:bookmarkStart w:id="533" w:name="_Toc10629"/>
      <w:bookmarkStart w:id="534" w:name="_Toc28030"/>
      <w:bookmarkStart w:id="535" w:name="_Toc79479668"/>
      <w:bookmarkStart w:id="536" w:name="bookmark623"/>
      <w:bookmarkStart w:id="537" w:name="bookmark624"/>
      <w:r>
        <w:rPr>
          <w:rFonts w:hint="eastAsia" w:ascii="宋体" w:hAnsi="宋体" w:cs="宋体"/>
          <w:b/>
          <w:bCs/>
          <w:color w:val="1A1A23"/>
          <w:sz w:val="30"/>
          <w:szCs w:val="30"/>
          <w:highlight w:val="none"/>
          <w:lang w:eastAsia="zh-CN"/>
        </w:rPr>
        <w:t>四、响应保证金</w:t>
      </w:r>
    </w:p>
    <w:p>
      <w:pPr>
        <w:spacing w:line="360" w:lineRule="auto"/>
        <w:rPr>
          <w:rFonts w:ascii="宋体" w:hAnsi="宋体" w:cs="宋体"/>
          <w:color w:val="1A1A23"/>
          <w:sz w:val="21"/>
          <w:szCs w:val="21"/>
          <w:highlight w:val="none"/>
          <w:lang w:eastAsia="zh-CN"/>
        </w:rPr>
      </w:pPr>
      <w:r>
        <w:rPr>
          <w:rFonts w:hint="eastAsia" w:ascii="宋体" w:hAnsi="宋体" w:cs="宋体"/>
          <w:color w:val="1A1A23"/>
          <w:sz w:val="21"/>
          <w:szCs w:val="21"/>
          <w:highlight w:val="none"/>
          <w:lang w:eastAsia="zh-CN"/>
        </w:rPr>
        <w:t>附：供应商应在此提供汇款凭证和基本账户开户许可证（或银行出具的基本存款账户证明材料）的复印件（或扫描件）。</w:t>
      </w:r>
    </w:p>
    <w:p>
      <w:pPr>
        <w:pStyle w:val="4"/>
        <w:keepLines w:val="0"/>
        <w:spacing w:before="0" w:after="0" w:line="360" w:lineRule="auto"/>
        <w:jc w:val="center"/>
        <w:rPr>
          <w:rFonts w:ascii="宋体"/>
          <w:color w:val="auto"/>
          <w:highlight w:val="none"/>
          <w:lang w:eastAsia="zh-CN"/>
        </w:rPr>
      </w:pPr>
      <w:r>
        <w:rPr>
          <w:rFonts w:hint="eastAsia" w:ascii="宋体" w:hAnsi="宋体" w:cs="宋体"/>
          <w:color w:val="auto"/>
          <w:sz w:val="28"/>
          <w:szCs w:val="28"/>
          <w:highlight w:val="none"/>
          <w:lang w:eastAsia="zh-CN"/>
        </w:rPr>
        <w:t>五、资格审查资料</w:t>
      </w:r>
      <w:bookmarkEnd w:id="532"/>
      <w:bookmarkEnd w:id="533"/>
      <w:bookmarkEnd w:id="534"/>
      <w:bookmarkEnd w:id="535"/>
      <w:bookmarkEnd w:id="536"/>
      <w:bookmarkEnd w:id="537"/>
    </w:p>
    <w:p>
      <w:pPr>
        <w:pStyle w:val="5"/>
        <w:keepLines w:val="0"/>
        <w:spacing w:before="0" w:after="0" w:line="360" w:lineRule="auto"/>
        <w:jc w:val="center"/>
        <w:rPr>
          <w:rFonts w:ascii="宋体"/>
          <w:color w:val="auto"/>
          <w:sz w:val="21"/>
          <w:szCs w:val="21"/>
          <w:highlight w:val="none"/>
          <w:lang w:eastAsia="zh-CN"/>
        </w:rPr>
      </w:pPr>
      <w:bookmarkStart w:id="538" w:name="bookmark629"/>
      <w:bookmarkEnd w:id="538"/>
      <w:bookmarkStart w:id="539" w:name="bookmark628"/>
      <w:bookmarkStart w:id="540" w:name="_Toc8898"/>
      <w:bookmarkStart w:id="541" w:name="_Toc31922"/>
      <w:bookmarkStart w:id="542" w:name="bookmark627"/>
      <w:bookmarkStart w:id="543" w:name="bookmark630"/>
      <w:bookmarkStart w:id="544" w:name="_Toc79479669"/>
      <w:r>
        <w:rPr>
          <w:rFonts w:hint="eastAsia" w:ascii="宋体" w:hAnsi="宋体" w:cs="宋体"/>
          <w:color w:val="auto"/>
          <w:sz w:val="21"/>
          <w:szCs w:val="21"/>
          <w:highlight w:val="none"/>
          <w:lang w:eastAsia="zh-CN"/>
        </w:rPr>
        <w:t>（一）基本情况</w:t>
      </w:r>
      <w:bookmarkEnd w:id="539"/>
      <w:bookmarkEnd w:id="540"/>
      <w:bookmarkEnd w:id="541"/>
      <w:bookmarkEnd w:id="542"/>
      <w:bookmarkEnd w:id="543"/>
      <w:r>
        <w:rPr>
          <w:rFonts w:hint="eastAsia" w:ascii="宋体" w:hAnsi="宋体" w:cs="宋体"/>
          <w:color w:val="auto"/>
          <w:sz w:val="21"/>
          <w:szCs w:val="21"/>
          <w:highlight w:val="none"/>
          <w:lang w:eastAsia="zh-CN"/>
        </w:rPr>
        <w:t>表</w:t>
      </w:r>
      <w:bookmarkEnd w:id="544"/>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050"/>
        <w:gridCol w:w="106"/>
        <w:gridCol w:w="1159"/>
        <w:gridCol w:w="804"/>
        <w:gridCol w:w="61"/>
        <w:gridCol w:w="308"/>
        <w:gridCol w:w="864"/>
        <w:gridCol w:w="291"/>
        <w:gridCol w:w="395"/>
        <w:gridCol w:w="76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lang w:eastAsia="zh-CN"/>
              </w:rPr>
              <w:t>供应商</w:t>
            </w:r>
            <w:r>
              <w:rPr>
                <w:rFonts w:hint="eastAsia" w:ascii="宋体" w:hAnsi="宋体" w:cs="宋体"/>
                <w:snapToGrid w:val="0"/>
                <w:color w:val="auto"/>
                <w:sz w:val="21"/>
                <w:szCs w:val="21"/>
                <w:highlight w:val="none"/>
              </w:rPr>
              <w:t>名称</w:t>
            </w:r>
          </w:p>
        </w:tc>
        <w:tc>
          <w:tcPr>
            <w:tcW w:w="4083" w:type="pct"/>
            <w:gridSpan w:val="11"/>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注册地址</w:t>
            </w:r>
          </w:p>
        </w:tc>
        <w:tc>
          <w:tcPr>
            <w:tcW w:w="1866" w:type="pct"/>
            <w:gridSpan w:val="5"/>
            <w:vAlign w:val="center"/>
          </w:tcPr>
          <w:p>
            <w:pPr>
              <w:keepNext/>
              <w:jc w:val="center"/>
              <w:rPr>
                <w:rFonts w:ascii="宋体"/>
                <w:snapToGrid w:val="0"/>
                <w:color w:val="auto"/>
                <w:sz w:val="21"/>
                <w:szCs w:val="21"/>
                <w:highlight w:val="none"/>
              </w:rPr>
            </w:pPr>
          </w:p>
        </w:tc>
        <w:tc>
          <w:tcPr>
            <w:tcW w:w="688" w:type="pct"/>
            <w:gridSpan w:val="2"/>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邮政编码</w:t>
            </w:r>
          </w:p>
        </w:tc>
        <w:tc>
          <w:tcPr>
            <w:tcW w:w="1529" w:type="pct"/>
            <w:gridSpan w:val="4"/>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Merge w:val="restar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联系方式</w:t>
            </w:r>
          </w:p>
        </w:tc>
        <w:tc>
          <w:tcPr>
            <w:tcW w:w="616"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联系人</w:t>
            </w:r>
          </w:p>
        </w:tc>
        <w:tc>
          <w:tcPr>
            <w:tcW w:w="1249" w:type="pct"/>
            <w:gridSpan w:val="4"/>
            <w:vAlign w:val="center"/>
          </w:tcPr>
          <w:p>
            <w:pPr>
              <w:keepNext/>
              <w:jc w:val="center"/>
              <w:rPr>
                <w:rFonts w:ascii="宋体"/>
                <w:snapToGrid w:val="0"/>
                <w:color w:val="auto"/>
                <w:sz w:val="21"/>
                <w:szCs w:val="21"/>
                <w:highlight w:val="none"/>
              </w:rPr>
            </w:pPr>
          </w:p>
        </w:tc>
        <w:tc>
          <w:tcPr>
            <w:tcW w:w="688" w:type="pct"/>
            <w:gridSpan w:val="2"/>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电话</w:t>
            </w:r>
          </w:p>
        </w:tc>
        <w:tc>
          <w:tcPr>
            <w:tcW w:w="1529" w:type="pct"/>
            <w:gridSpan w:val="4"/>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Merge w:val="continue"/>
            <w:vAlign w:val="center"/>
          </w:tcPr>
          <w:p>
            <w:pPr>
              <w:keepNext/>
              <w:jc w:val="center"/>
              <w:rPr>
                <w:rFonts w:ascii="宋体"/>
                <w:snapToGrid w:val="0"/>
                <w:color w:val="auto"/>
                <w:sz w:val="21"/>
                <w:szCs w:val="21"/>
                <w:highlight w:val="none"/>
              </w:rPr>
            </w:pPr>
          </w:p>
        </w:tc>
        <w:tc>
          <w:tcPr>
            <w:tcW w:w="616"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传真</w:t>
            </w:r>
          </w:p>
        </w:tc>
        <w:tc>
          <w:tcPr>
            <w:tcW w:w="1249" w:type="pct"/>
            <w:gridSpan w:val="4"/>
            <w:vAlign w:val="center"/>
          </w:tcPr>
          <w:p>
            <w:pPr>
              <w:keepNext/>
              <w:jc w:val="center"/>
              <w:rPr>
                <w:rFonts w:ascii="宋体"/>
                <w:snapToGrid w:val="0"/>
                <w:color w:val="auto"/>
                <w:sz w:val="21"/>
                <w:szCs w:val="21"/>
                <w:highlight w:val="none"/>
              </w:rPr>
            </w:pPr>
          </w:p>
        </w:tc>
        <w:tc>
          <w:tcPr>
            <w:tcW w:w="688" w:type="pct"/>
            <w:gridSpan w:val="2"/>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网址</w:t>
            </w:r>
          </w:p>
        </w:tc>
        <w:tc>
          <w:tcPr>
            <w:tcW w:w="1529" w:type="pct"/>
            <w:gridSpan w:val="4"/>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组织结构</w:t>
            </w:r>
          </w:p>
        </w:tc>
        <w:tc>
          <w:tcPr>
            <w:tcW w:w="4083" w:type="pct"/>
            <w:gridSpan w:val="11"/>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法定代表人</w:t>
            </w:r>
          </w:p>
        </w:tc>
        <w:tc>
          <w:tcPr>
            <w:tcW w:w="678" w:type="pct"/>
            <w:gridSpan w:val="2"/>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姓名</w:t>
            </w:r>
          </w:p>
        </w:tc>
        <w:tc>
          <w:tcPr>
            <w:tcW w:w="680" w:type="pct"/>
            <w:vAlign w:val="center"/>
          </w:tcPr>
          <w:p>
            <w:pPr>
              <w:keepNext/>
              <w:jc w:val="center"/>
              <w:rPr>
                <w:rFonts w:ascii="宋体"/>
                <w:snapToGrid w:val="0"/>
                <w:color w:val="auto"/>
                <w:sz w:val="21"/>
                <w:szCs w:val="21"/>
                <w:highlight w:val="none"/>
              </w:rPr>
            </w:pPr>
          </w:p>
        </w:tc>
        <w:tc>
          <w:tcPr>
            <w:tcW w:w="689" w:type="pct"/>
            <w:gridSpan w:val="3"/>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技术职称</w:t>
            </w:r>
          </w:p>
        </w:tc>
        <w:tc>
          <w:tcPr>
            <w:tcW w:w="678" w:type="pct"/>
            <w:gridSpan w:val="2"/>
            <w:vAlign w:val="center"/>
          </w:tcPr>
          <w:p>
            <w:pPr>
              <w:keepNext/>
              <w:jc w:val="center"/>
              <w:rPr>
                <w:rFonts w:ascii="宋体"/>
                <w:snapToGrid w:val="0"/>
                <w:color w:val="auto"/>
                <w:sz w:val="21"/>
                <w:szCs w:val="21"/>
                <w:highlight w:val="none"/>
              </w:rPr>
            </w:pPr>
          </w:p>
        </w:tc>
        <w:tc>
          <w:tcPr>
            <w:tcW w:w="678" w:type="pct"/>
            <w:gridSpan w:val="2"/>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电话</w:t>
            </w:r>
          </w:p>
        </w:tc>
        <w:tc>
          <w:tcPr>
            <w:tcW w:w="681" w:type="pct"/>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技术负责人</w:t>
            </w:r>
          </w:p>
        </w:tc>
        <w:tc>
          <w:tcPr>
            <w:tcW w:w="678" w:type="pct"/>
            <w:gridSpan w:val="2"/>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姓名</w:t>
            </w:r>
          </w:p>
        </w:tc>
        <w:tc>
          <w:tcPr>
            <w:tcW w:w="680" w:type="pct"/>
            <w:vAlign w:val="center"/>
          </w:tcPr>
          <w:p>
            <w:pPr>
              <w:keepNext/>
              <w:jc w:val="center"/>
              <w:rPr>
                <w:rFonts w:ascii="宋体"/>
                <w:snapToGrid w:val="0"/>
                <w:color w:val="auto"/>
                <w:sz w:val="21"/>
                <w:szCs w:val="21"/>
                <w:highlight w:val="none"/>
              </w:rPr>
            </w:pPr>
          </w:p>
        </w:tc>
        <w:tc>
          <w:tcPr>
            <w:tcW w:w="689" w:type="pct"/>
            <w:gridSpan w:val="3"/>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技术职称</w:t>
            </w:r>
          </w:p>
        </w:tc>
        <w:tc>
          <w:tcPr>
            <w:tcW w:w="678" w:type="pct"/>
            <w:gridSpan w:val="2"/>
            <w:vAlign w:val="center"/>
          </w:tcPr>
          <w:p>
            <w:pPr>
              <w:keepNext/>
              <w:jc w:val="center"/>
              <w:rPr>
                <w:rFonts w:ascii="宋体"/>
                <w:snapToGrid w:val="0"/>
                <w:color w:val="auto"/>
                <w:sz w:val="21"/>
                <w:szCs w:val="21"/>
                <w:highlight w:val="none"/>
              </w:rPr>
            </w:pPr>
          </w:p>
        </w:tc>
        <w:tc>
          <w:tcPr>
            <w:tcW w:w="678" w:type="pct"/>
            <w:gridSpan w:val="2"/>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电话</w:t>
            </w:r>
          </w:p>
        </w:tc>
        <w:tc>
          <w:tcPr>
            <w:tcW w:w="681" w:type="pct"/>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成立时间</w:t>
            </w:r>
          </w:p>
        </w:tc>
        <w:tc>
          <w:tcPr>
            <w:tcW w:w="1358" w:type="pct"/>
            <w:gridSpan w:val="3"/>
            <w:vAlign w:val="center"/>
          </w:tcPr>
          <w:p>
            <w:pPr>
              <w:keepNext/>
              <w:jc w:val="center"/>
              <w:rPr>
                <w:rFonts w:ascii="宋体"/>
                <w:snapToGrid w:val="0"/>
                <w:color w:val="auto"/>
                <w:sz w:val="21"/>
                <w:szCs w:val="21"/>
                <w:highlight w:val="none"/>
              </w:rPr>
            </w:pPr>
          </w:p>
        </w:tc>
        <w:tc>
          <w:tcPr>
            <w:tcW w:w="2725" w:type="pct"/>
            <w:gridSpan w:val="8"/>
            <w:vAlign w:val="center"/>
          </w:tcPr>
          <w:p>
            <w:pPr>
              <w:keepNext/>
              <w:rPr>
                <w:rFonts w:ascii="宋体"/>
                <w:snapToGrid w:val="0"/>
                <w:color w:val="auto"/>
                <w:sz w:val="21"/>
                <w:szCs w:val="21"/>
                <w:highlight w:val="none"/>
              </w:rPr>
            </w:pPr>
            <w:r>
              <w:rPr>
                <w:rFonts w:hint="eastAsia" w:ascii="宋体" w:hAnsi="宋体" w:cs="宋体"/>
                <w:snapToGrid w:val="0"/>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企业资质等级</w:t>
            </w:r>
          </w:p>
        </w:tc>
        <w:tc>
          <w:tcPr>
            <w:tcW w:w="1358" w:type="pct"/>
            <w:gridSpan w:val="3"/>
            <w:vAlign w:val="center"/>
          </w:tcPr>
          <w:p>
            <w:pPr>
              <w:keepNext/>
              <w:jc w:val="center"/>
              <w:rPr>
                <w:rFonts w:ascii="宋体"/>
                <w:snapToGrid w:val="0"/>
                <w:color w:val="auto"/>
                <w:sz w:val="21"/>
                <w:szCs w:val="21"/>
                <w:highlight w:val="none"/>
              </w:rPr>
            </w:pPr>
          </w:p>
        </w:tc>
        <w:tc>
          <w:tcPr>
            <w:tcW w:w="472" w:type="pct"/>
            <w:vMerge w:val="restar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其中</w:t>
            </w:r>
          </w:p>
        </w:tc>
        <w:tc>
          <w:tcPr>
            <w:tcW w:w="1127" w:type="pct"/>
            <w:gridSpan w:val="5"/>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项目经理</w:t>
            </w:r>
          </w:p>
        </w:tc>
        <w:tc>
          <w:tcPr>
            <w:tcW w:w="1127" w:type="pct"/>
            <w:gridSpan w:val="2"/>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营业执照号</w:t>
            </w:r>
          </w:p>
        </w:tc>
        <w:tc>
          <w:tcPr>
            <w:tcW w:w="1358" w:type="pct"/>
            <w:gridSpan w:val="3"/>
            <w:vAlign w:val="center"/>
          </w:tcPr>
          <w:p>
            <w:pPr>
              <w:keepNext/>
              <w:jc w:val="center"/>
              <w:rPr>
                <w:rFonts w:ascii="宋体"/>
                <w:snapToGrid w:val="0"/>
                <w:color w:val="auto"/>
                <w:sz w:val="21"/>
                <w:szCs w:val="21"/>
                <w:highlight w:val="none"/>
              </w:rPr>
            </w:pPr>
          </w:p>
        </w:tc>
        <w:tc>
          <w:tcPr>
            <w:tcW w:w="472" w:type="pct"/>
            <w:vMerge w:val="continue"/>
            <w:vAlign w:val="center"/>
          </w:tcPr>
          <w:p>
            <w:pPr>
              <w:keepNext/>
              <w:jc w:val="center"/>
              <w:rPr>
                <w:rFonts w:ascii="宋体"/>
                <w:snapToGrid w:val="0"/>
                <w:color w:val="auto"/>
                <w:sz w:val="21"/>
                <w:szCs w:val="21"/>
                <w:highlight w:val="none"/>
              </w:rPr>
            </w:pPr>
          </w:p>
        </w:tc>
        <w:tc>
          <w:tcPr>
            <w:tcW w:w="1127" w:type="pct"/>
            <w:gridSpan w:val="5"/>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高级职称人员</w:t>
            </w:r>
          </w:p>
        </w:tc>
        <w:tc>
          <w:tcPr>
            <w:tcW w:w="1127" w:type="pct"/>
            <w:gridSpan w:val="2"/>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注册资金</w:t>
            </w:r>
          </w:p>
        </w:tc>
        <w:tc>
          <w:tcPr>
            <w:tcW w:w="1358" w:type="pct"/>
            <w:gridSpan w:val="3"/>
            <w:vAlign w:val="center"/>
          </w:tcPr>
          <w:p>
            <w:pPr>
              <w:keepNext/>
              <w:jc w:val="center"/>
              <w:rPr>
                <w:rFonts w:ascii="宋体"/>
                <w:snapToGrid w:val="0"/>
                <w:color w:val="auto"/>
                <w:sz w:val="21"/>
                <w:szCs w:val="21"/>
                <w:highlight w:val="none"/>
              </w:rPr>
            </w:pPr>
          </w:p>
        </w:tc>
        <w:tc>
          <w:tcPr>
            <w:tcW w:w="472" w:type="pct"/>
            <w:vMerge w:val="continue"/>
            <w:vAlign w:val="center"/>
          </w:tcPr>
          <w:p>
            <w:pPr>
              <w:keepNext/>
              <w:jc w:val="center"/>
              <w:rPr>
                <w:rFonts w:ascii="宋体"/>
                <w:snapToGrid w:val="0"/>
                <w:color w:val="auto"/>
                <w:sz w:val="21"/>
                <w:szCs w:val="21"/>
                <w:highlight w:val="none"/>
              </w:rPr>
            </w:pPr>
          </w:p>
        </w:tc>
        <w:tc>
          <w:tcPr>
            <w:tcW w:w="1127" w:type="pct"/>
            <w:gridSpan w:val="5"/>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中级职称人员</w:t>
            </w:r>
          </w:p>
        </w:tc>
        <w:tc>
          <w:tcPr>
            <w:tcW w:w="1127" w:type="pct"/>
            <w:gridSpan w:val="2"/>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开户银行</w:t>
            </w:r>
          </w:p>
        </w:tc>
        <w:tc>
          <w:tcPr>
            <w:tcW w:w="1358" w:type="pct"/>
            <w:gridSpan w:val="3"/>
            <w:vAlign w:val="center"/>
          </w:tcPr>
          <w:p>
            <w:pPr>
              <w:keepNext/>
              <w:jc w:val="center"/>
              <w:rPr>
                <w:rFonts w:ascii="宋体"/>
                <w:snapToGrid w:val="0"/>
                <w:color w:val="auto"/>
                <w:sz w:val="21"/>
                <w:szCs w:val="21"/>
                <w:highlight w:val="none"/>
              </w:rPr>
            </w:pPr>
          </w:p>
        </w:tc>
        <w:tc>
          <w:tcPr>
            <w:tcW w:w="472" w:type="pct"/>
            <w:vMerge w:val="continue"/>
            <w:vAlign w:val="center"/>
          </w:tcPr>
          <w:p>
            <w:pPr>
              <w:keepNext/>
              <w:jc w:val="center"/>
              <w:rPr>
                <w:rFonts w:ascii="宋体"/>
                <w:snapToGrid w:val="0"/>
                <w:color w:val="auto"/>
                <w:sz w:val="21"/>
                <w:szCs w:val="21"/>
                <w:highlight w:val="none"/>
              </w:rPr>
            </w:pPr>
          </w:p>
        </w:tc>
        <w:tc>
          <w:tcPr>
            <w:tcW w:w="1127" w:type="pct"/>
            <w:gridSpan w:val="5"/>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初级职称人员</w:t>
            </w:r>
          </w:p>
        </w:tc>
        <w:tc>
          <w:tcPr>
            <w:tcW w:w="1127" w:type="pct"/>
            <w:gridSpan w:val="2"/>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账号</w:t>
            </w:r>
          </w:p>
        </w:tc>
        <w:tc>
          <w:tcPr>
            <w:tcW w:w="1358" w:type="pct"/>
            <w:gridSpan w:val="3"/>
            <w:vAlign w:val="center"/>
          </w:tcPr>
          <w:p>
            <w:pPr>
              <w:keepNext/>
              <w:jc w:val="center"/>
              <w:rPr>
                <w:rFonts w:ascii="宋体"/>
                <w:snapToGrid w:val="0"/>
                <w:color w:val="auto"/>
                <w:sz w:val="21"/>
                <w:szCs w:val="21"/>
                <w:highlight w:val="none"/>
              </w:rPr>
            </w:pPr>
          </w:p>
        </w:tc>
        <w:tc>
          <w:tcPr>
            <w:tcW w:w="472" w:type="pct"/>
            <w:vMerge w:val="continue"/>
            <w:vAlign w:val="center"/>
          </w:tcPr>
          <w:p>
            <w:pPr>
              <w:keepNext/>
              <w:jc w:val="center"/>
              <w:rPr>
                <w:rFonts w:ascii="宋体"/>
                <w:snapToGrid w:val="0"/>
                <w:color w:val="auto"/>
                <w:sz w:val="21"/>
                <w:szCs w:val="21"/>
                <w:highlight w:val="none"/>
              </w:rPr>
            </w:pPr>
          </w:p>
        </w:tc>
        <w:tc>
          <w:tcPr>
            <w:tcW w:w="1127" w:type="pct"/>
            <w:gridSpan w:val="5"/>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技工</w:t>
            </w:r>
          </w:p>
        </w:tc>
        <w:tc>
          <w:tcPr>
            <w:tcW w:w="1127" w:type="pct"/>
            <w:gridSpan w:val="2"/>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经营范围</w:t>
            </w:r>
          </w:p>
        </w:tc>
        <w:tc>
          <w:tcPr>
            <w:tcW w:w="4083" w:type="pct"/>
            <w:gridSpan w:val="11"/>
            <w:vAlign w:val="center"/>
          </w:tcPr>
          <w:p>
            <w:pPr>
              <w:keepNext/>
              <w:jc w:val="center"/>
              <w:rPr>
                <w:rFonts w:ascii="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pct"/>
            <w:vAlign w:val="center"/>
          </w:tcPr>
          <w:p>
            <w:pPr>
              <w:keepNext/>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备注</w:t>
            </w:r>
          </w:p>
        </w:tc>
        <w:tc>
          <w:tcPr>
            <w:tcW w:w="4083" w:type="pct"/>
            <w:gridSpan w:val="11"/>
            <w:vAlign w:val="center"/>
          </w:tcPr>
          <w:p>
            <w:pPr>
              <w:keepNext/>
              <w:jc w:val="center"/>
              <w:rPr>
                <w:rFonts w:ascii="宋体"/>
                <w:snapToGrid w:val="0"/>
                <w:color w:val="auto"/>
                <w:sz w:val="21"/>
                <w:szCs w:val="21"/>
                <w:highlight w:val="none"/>
              </w:rPr>
            </w:pPr>
          </w:p>
        </w:tc>
      </w:tr>
    </w:tbl>
    <w:p>
      <w:pPr>
        <w:keepNext/>
        <w:rPr>
          <w:rFonts w:ascii="宋体"/>
          <w:color w:val="auto"/>
          <w:highlight w:val="none"/>
        </w:rPr>
      </w:pPr>
    </w:p>
    <w:p>
      <w:pPr>
        <w:keepNext/>
        <w:adjustRightInd w:val="0"/>
        <w:snapToGrid w:val="0"/>
        <w:spacing w:before="156" w:beforeLines="50" w:line="360" w:lineRule="auto"/>
        <w:rPr>
          <w:rFonts w:ascii="宋体"/>
          <w:color w:val="auto"/>
          <w:sz w:val="21"/>
          <w:szCs w:val="21"/>
          <w:highlight w:val="none"/>
          <w:lang w:eastAsia="zh-CN"/>
        </w:rPr>
      </w:pPr>
      <w:r>
        <w:rPr>
          <w:rFonts w:hint="eastAsia" w:ascii="宋体" w:hAnsi="宋体" w:cs="宋体"/>
          <w:color w:val="auto"/>
          <w:sz w:val="21"/>
          <w:szCs w:val="21"/>
          <w:highlight w:val="none"/>
          <w:lang w:eastAsia="zh-CN"/>
        </w:rPr>
        <w:t>附：</w:t>
      </w:r>
      <w:r>
        <w:rPr>
          <w:rFonts w:hint="eastAsia" w:ascii="宋体" w:hAnsi="宋体" w:cs="宋体"/>
          <w:snapToGrid w:val="0"/>
          <w:color w:val="auto"/>
          <w:sz w:val="21"/>
          <w:szCs w:val="21"/>
          <w:highlight w:val="none"/>
          <w:lang w:eastAsia="zh-CN"/>
        </w:rPr>
        <w:t>本表后附供应商营业执照副本等材料的复印件（或扫描件）。</w:t>
      </w:r>
    </w:p>
    <w:p>
      <w:pPr>
        <w:pStyle w:val="46"/>
        <w:keepNext/>
        <w:spacing w:line="360" w:lineRule="auto"/>
        <w:ind w:firstLine="420" w:firstLineChars="200"/>
        <w:jc w:val="both"/>
        <w:rPr>
          <w:rFonts w:cs="Times New Roman"/>
          <w:color w:val="auto"/>
          <w:sz w:val="21"/>
          <w:szCs w:val="21"/>
          <w:highlight w:val="none"/>
          <w:lang w:val="en-US"/>
        </w:rPr>
      </w:pPr>
    </w:p>
    <w:p>
      <w:pPr>
        <w:keepNext/>
        <w:widowControl/>
        <w:rPr>
          <w:rFonts w:ascii="宋体"/>
          <w:b/>
          <w:bCs/>
          <w:color w:val="auto"/>
          <w:sz w:val="21"/>
          <w:szCs w:val="21"/>
          <w:highlight w:val="none"/>
          <w:lang w:eastAsia="zh-CN"/>
        </w:rPr>
      </w:pPr>
      <w:bookmarkStart w:id="545" w:name="bookmark633"/>
      <w:bookmarkEnd w:id="545"/>
      <w:bookmarkStart w:id="546" w:name="_Toc23588"/>
      <w:bookmarkStart w:id="547" w:name="_Toc29789"/>
      <w:bookmarkStart w:id="548" w:name="bookmark634"/>
      <w:bookmarkStart w:id="549" w:name="bookmark631"/>
      <w:bookmarkStart w:id="550" w:name="bookmark632"/>
      <w:r>
        <w:rPr>
          <w:rFonts w:ascii="宋体"/>
          <w:color w:val="auto"/>
          <w:sz w:val="21"/>
          <w:szCs w:val="21"/>
          <w:highlight w:val="none"/>
          <w:lang w:eastAsia="zh-CN"/>
        </w:rPr>
        <w:br w:type="page"/>
      </w:r>
    </w:p>
    <w:p>
      <w:pPr>
        <w:pStyle w:val="5"/>
        <w:keepLines w:val="0"/>
        <w:spacing w:before="0" w:after="0" w:line="360" w:lineRule="auto"/>
        <w:jc w:val="center"/>
        <w:rPr>
          <w:rFonts w:ascii="宋体"/>
          <w:color w:val="auto"/>
          <w:sz w:val="21"/>
          <w:szCs w:val="21"/>
          <w:highlight w:val="none"/>
          <w:lang w:eastAsia="zh-CN"/>
        </w:rPr>
      </w:pPr>
      <w:bookmarkStart w:id="551" w:name="_Toc79479670"/>
      <w:r>
        <w:rPr>
          <w:rFonts w:hint="eastAsia" w:ascii="宋体" w:hAnsi="宋体" w:cs="宋体"/>
          <w:color w:val="auto"/>
          <w:sz w:val="21"/>
          <w:szCs w:val="21"/>
          <w:highlight w:val="none"/>
          <w:lang w:eastAsia="zh-CN"/>
        </w:rPr>
        <w:t>（二）</w:t>
      </w:r>
      <w:bookmarkEnd w:id="551"/>
    </w:p>
    <w:p>
      <w:pPr>
        <w:pStyle w:val="5"/>
        <w:keepLines w:val="0"/>
        <w:spacing w:before="0" w:after="0" w:line="360" w:lineRule="auto"/>
        <w:jc w:val="center"/>
        <w:rPr>
          <w:rFonts w:ascii="宋体"/>
          <w:color w:val="auto"/>
          <w:sz w:val="21"/>
          <w:szCs w:val="21"/>
          <w:highlight w:val="none"/>
          <w:lang w:eastAsia="zh-CN"/>
        </w:rPr>
      </w:pPr>
      <w:bookmarkStart w:id="552" w:name="_Toc79479671"/>
      <w:r>
        <w:rPr>
          <w:rFonts w:hint="eastAsia" w:ascii="宋体" w:hAnsi="宋体" w:cs="宋体"/>
          <w:color w:val="auto"/>
          <w:sz w:val="21"/>
          <w:szCs w:val="21"/>
          <w:highlight w:val="none"/>
          <w:lang w:eastAsia="zh-CN"/>
        </w:rPr>
        <w:t>信用中国失信被执行人、全国企业信用信息公示系统严重违法失信企业查询记录</w:t>
      </w:r>
      <w:bookmarkEnd w:id="552"/>
    </w:p>
    <w:p>
      <w:pPr>
        <w:keepNext/>
        <w:widowControl/>
        <w:rPr>
          <w:rFonts w:ascii="宋体"/>
          <w:b/>
          <w:bCs/>
          <w:color w:val="auto"/>
          <w:sz w:val="21"/>
          <w:szCs w:val="21"/>
          <w:highlight w:val="none"/>
          <w:lang w:eastAsia="zh-CN"/>
        </w:rPr>
      </w:pPr>
      <w:r>
        <w:rPr>
          <w:rFonts w:ascii="宋体"/>
          <w:color w:val="auto"/>
          <w:sz w:val="21"/>
          <w:szCs w:val="21"/>
          <w:highlight w:val="none"/>
          <w:lang w:eastAsia="zh-CN"/>
        </w:rPr>
        <w:br w:type="page"/>
      </w:r>
    </w:p>
    <w:bookmarkEnd w:id="546"/>
    <w:bookmarkEnd w:id="547"/>
    <w:bookmarkEnd w:id="548"/>
    <w:bookmarkEnd w:id="549"/>
    <w:bookmarkEnd w:id="550"/>
    <w:p>
      <w:pPr>
        <w:pStyle w:val="4"/>
        <w:keepLines w:val="0"/>
        <w:spacing w:before="0" w:after="0" w:line="360" w:lineRule="auto"/>
        <w:jc w:val="center"/>
        <w:rPr>
          <w:rFonts w:ascii="宋体" w:cs="宋体"/>
          <w:color w:val="auto"/>
          <w:sz w:val="28"/>
          <w:szCs w:val="28"/>
          <w:highlight w:val="none"/>
          <w:lang w:eastAsia="zh-CN"/>
        </w:rPr>
      </w:pPr>
      <w:bookmarkStart w:id="553" w:name="_Toc79479672"/>
      <w:bookmarkStart w:id="554" w:name="_Toc13523"/>
      <w:bookmarkStart w:id="555" w:name="_Toc26995"/>
      <w:r>
        <w:rPr>
          <w:rFonts w:hint="eastAsia" w:ascii="宋体" w:hAnsi="宋体" w:cs="宋体"/>
          <w:color w:val="auto"/>
          <w:sz w:val="28"/>
          <w:szCs w:val="28"/>
          <w:highlight w:val="none"/>
          <w:lang w:eastAsia="zh-CN"/>
        </w:rPr>
        <w:t>六、</w:t>
      </w:r>
      <w:bookmarkEnd w:id="553"/>
      <w:bookmarkEnd w:id="554"/>
      <w:bookmarkEnd w:id="555"/>
      <w:r>
        <w:rPr>
          <w:rFonts w:hint="eastAsia" w:ascii="宋体" w:hAnsi="宋体" w:cs="宋体"/>
          <w:color w:val="auto"/>
          <w:sz w:val="28"/>
          <w:szCs w:val="28"/>
          <w:highlight w:val="none"/>
          <w:lang w:eastAsia="zh-CN"/>
        </w:rPr>
        <w:t>货物质量标准或技术性能指标的详细描述</w:t>
      </w:r>
    </w:p>
    <w:p>
      <w:pPr>
        <w:rPr>
          <w:color w:val="auto"/>
          <w:highlight w:val="none"/>
          <w:lang w:eastAsia="zh-CN"/>
        </w:rPr>
      </w:pPr>
      <w:r>
        <w:rPr>
          <w:rFonts w:hint="eastAsia"/>
          <w:color w:val="auto"/>
          <w:sz w:val="18"/>
          <w:szCs w:val="18"/>
          <w:highlight w:val="none"/>
          <w:lang w:eastAsia="zh-CN"/>
        </w:rPr>
        <w:t>（注：主要材料和关键部件有外购的，应在此部分详细说明外购的主要材料和关键部件名称、型号规格或主要技术性能参数、制造商名称、制造商地址等信息。）</w:t>
      </w:r>
    </w:p>
    <w:p>
      <w:pPr>
        <w:pStyle w:val="4"/>
        <w:keepLines w:val="0"/>
        <w:spacing w:before="0" w:after="0" w:line="360" w:lineRule="auto"/>
        <w:jc w:val="center"/>
        <w:rPr>
          <w:rFonts w:ascii="宋体"/>
          <w:color w:val="auto"/>
          <w:sz w:val="28"/>
          <w:szCs w:val="28"/>
          <w:highlight w:val="none"/>
          <w:lang w:eastAsia="zh-CN"/>
        </w:rPr>
      </w:pPr>
      <w:r>
        <w:rPr>
          <w:rFonts w:ascii="宋体"/>
          <w:color w:val="auto"/>
          <w:sz w:val="28"/>
          <w:szCs w:val="28"/>
          <w:highlight w:val="none"/>
          <w:lang w:eastAsia="zh-CN"/>
        </w:rPr>
        <w:br w:type="page"/>
      </w:r>
    </w:p>
    <w:p>
      <w:pPr>
        <w:pStyle w:val="4"/>
        <w:keepLines w:val="0"/>
        <w:spacing w:before="0" w:after="0" w:line="360" w:lineRule="auto"/>
        <w:jc w:val="center"/>
        <w:rPr>
          <w:rFonts w:ascii="宋体"/>
          <w:color w:val="auto"/>
          <w:sz w:val="28"/>
          <w:szCs w:val="28"/>
          <w:highlight w:val="none"/>
          <w:lang w:eastAsia="zh-CN"/>
        </w:rPr>
      </w:pPr>
      <w:r>
        <w:rPr>
          <w:rFonts w:hint="eastAsia" w:ascii="宋体" w:hAnsi="宋体" w:cs="宋体"/>
          <w:color w:val="auto"/>
          <w:sz w:val="28"/>
          <w:szCs w:val="28"/>
          <w:highlight w:val="none"/>
          <w:lang w:eastAsia="zh-CN"/>
        </w:rPr>
        <w:t>七、技术支持资料</w:t>
      </w:r>
      <w:r>
        <w:rPr>
          <w:rFonts w:ascii="宋体"/>
          <w:color w:val="auto"/>
          <w:sz w:val="28"/>
          <w:szCs w:val="28"/>
          <w:highlight w:val="none"/>
          <w:lang w:eastAsia="zh-CN"/>
        </w:rPr>
        <w:br w:type="page"/>
      </w:r>
    </w:p>
    <w:p>
      <w:pPr>
        <w:pStyle w:val="4"/>
        <w:keepLines w:val="0"/>
        <w:spacing w:before="0" w:after="0" w:line="360" w:lineRule="auto"/>
        <w:jc w:val="center"/>
        <w:rPr>
          <w:rFonts w:ascii="宋体"/>
          <w:color w:val="auto"/>
          <w:sz w:val="28"/>
          <w:szCs w:val="28"/>
          <w:highlight w:val="none"/>
          <w:lang w:eastAsia="zh-CN"/>
        </w:rPr>
      </w:pPr>
      <w:r>
        <w:rPr>
          <w:rFonts w:hint="eastAsia" w:ascii="宋体" w:hAnsi="宋体" w:cs="宋体"/>
          <w:color w:val="auto"/>
          <w:sz w:val="28"/>
          <w:szCs w:val="28"/>
          <w:highlight w:val="none"/>
          <w:lang w:eastAsia="zh-CN"/>
        </w:rPr>
        <w:t>八、相关服务计划</w:t>
      </w:r>
    </w:p>
    <w:p>
      <w:pPr>
        <w:pStyle w:val="4"/>
        <w:keepLines w:val="0"/>
        <w:spacing w:before="0" w:after="0" w:line="360" w:lineRule="auto"/>
        <w:jc w:val="center"/>
        <w:rPr>
          <w:rFonts w:ascii="宋体"/>
          <w:color w:val="auto"/>
          <w:sz w:val="21"/>
          <w:szCs w:val="21"/>
          <w:highlight w:val="none"/>
          <w:lang w:eastAsia="zh-CN"/>
        </w:rPr>
      </w:pPr>
      <w:bookmarkStart w:id="556" w:name="bookmark723"/>
      <w:bookmarkStart w:id="557" w:name="bookmark725"/>
      <w:bookmarkStart w:id="558" w:name="_Toc15847"/>
      <w:bookmarkStart w:id="559" w:name="_Toc8041"/>
      <w:bookmarkStart w:id="560" w:name="bookmark722"/>
      <w:bookmarkStart w:id="561" w:name="_Toc79479674"/>
      <w:r>
        <w:rPr>
          <w:rFonts w:ascii="宋体"/>
          <w:color w:val="auto"/>
          <w:sz w:val="21"/>
          <w:szCs w:val="21"/>
          <w:highlight w:val="none"/>
          <w:lang w:eastAsia="zh-CN"/>
        </w:rPr>
        <w:br w:type="page"/>
      </w:r>
    </w:p>
    <w:p>
      <w:pPr>
        <w:pStyle w:val="4"/>
        <w:keepLines w:val="0"/>
        <w:spacing w:before="0" w:after="0" w:line="360" w:lineRule="auto"/>
        <w:jc w:val="center"/>
        <w:rPr>
          <w:rFonts w:ascii="宋体"/>
          <w:color w:val="auto"/>
          <w:sz w:val="28"/>
          <w:szCs w:val="28"/>
          <w:highlight w:val="none"/>
          <w:lang w:eastAsia="zh-CN"/>
        </w:rPr>
      </w:pPr>
      <w:r>
        <w:rPr>
          <w:rFonts w:hint="eastAsia" w:ascii="宋体" w:hAnsi="宋体" w:cs="宋体"/>
          <w:color w:val="auto"/>
          <w:sz w:val="28"/>
          <w:szCs w:val="28"/>
          <w:highlight w:val="none"/>
          <w:lang w:eastAsia="zh-CN"/>
        </w:rPr>
        <w:t>九、其他资料</w:t>
      </w:r>
      <w:bookmarkEnd w:id="556"/>
      <w:bookmarkEnd w:id="557"/>
      <w:bookmarkEnd w:id="558"/>
      <w:bookmarkEnd w:id="559"/>
      <w:bookmarkEnd w:id="560"/>
      <w:bookmarkEnd w:id="561"/>
      <w:bookmarkStart w:id="562" w:name="bookmark637"/>
      <w:bookmarkEnd w:id="562"/>
      <w:bookmarkStart w:id="563" w:name="_Toc24914"/>
      <w:bookmarkStart w:id="564" w:name="_Toc22600"/>
      <w:bookmarkStart w:id="565" w:name="bookmark636"/>
      <w:bookmarkStart w:id="566" w:name="bookmark635"/>
      <w:bookmarkStart w:id="567" w:name="bookmark638"/>
    </w:p>
    <w:p>
      <w:pPr>
        <w:pStyle w:val="5"/>
        <w:keepLines w:val="0"/>
        <w:spacing w:before="0" w:after="0" w:line="360" w:lineRule="auto"/>
        <w:jc w:val="center"/>
        <w:rPr>
          <w:rFonts w:ascii="宋体"/>
          <w:color w:val="auto"/>
          <w:sz w:val="21"/>
          <w:szCs w:val="21"/>
          <w:highlight w:val="none"/>
          <w:lang w:eastAsia="zh-CN"/>
        </w:rPr>
      </w:pPr>
      <w:bookmarkStart w:id="568" w:name="_Toc79479676"/>
      <w:r>
        <w:rPr>
          <w:rFonts w:hint="eastAsia" w:ascii="宋体" w:hAnsi="宋体" w:cs="宋体"/>
          <w:color w:val="auto"/>
          <w:sz w:val="21"/>
          <w:szCs w:val="21"/>
          <w:highlight w:val="none"/>
          <w:lang w:eastAsia="zh-CN"/>
        </w:rPr>
        <w:t>（一）近年的类似项目情况表</w:t>
      </w:r>
      <w:bookmarkEnd w:id="563"/>
      <w:bookmarkEnd w:id="564"/>
      <w:bookmarkEnd w:id="565"/>
      <w:bookmarkEnd w:id="566"/>
      <w:bookmarkEnd w:id="567"/>
      <w:bookmarkEnd w:id="568"/>
    </w:p>
    <w:tbl>
      <w:tblPr>
        <w:tblStyle w:val="26"/>
        <w:tblW w:w="5000" w:type="pct"/>
        <w:jc w:val="center"/>
        <w:tblLayout w:type="autofit"/>
        <w:tblCellMar>
          <w:top w:w="0" w:type="dxa"/>
          <w:left w:w="108" w:type="dxa"/>
          <w:bottom w:w="0" w:type="dxa"/>
          <w:right w:w="108" w:type="dxa"/>
        </w:tblCellMar>
      </w:tblPr>
      <w:tblGrid>
        <w:gridCol w:w="2215"/>
        <w:gridCol w:w="6107"/>
      </w:tblGrid>
      <w:tr>
        <w:tblPrEx>
          <w:tblCellMar>
            <w:top w:w="0" w:type="dxa"/>
            <w:left w:w="108" w:type="dxa"/>
            <w:bottom w:w="0" w:type="dxa"/>
            <w:right w:w="108" w:type="dxa"/>
          </w:tblCellMar>
        </w:tblPrEx>
        <w:trPr>
          <w:trHeight w:val="807" w:hRule="exact"/>
          <w:jc w:val="center"/>
        </w:trPr>
        <w:tc>
          <w:tcPr>
            <w:tcW w:w="1331"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r>
              <w:rPr>
                <w:rFonts w:hint="eastAsia" w:ascii="宋体" w:hAnsi="宋体" w:cs="宋体"/>
                <w:color w:val="auto"/>
                <w:spacing w:val="-7"/>
                <w:sz w:val="21"/>
                <w:szCs w:val="21"/>
                <w:highlight w:val="none"/>
              </w:rPr>
              <w:t>产品名称</w:t>
            </w:r>
          </w:p>
        </w:tc>
        <w:tc>
          <w:tcPr>
            <w:tcW w:w="3669"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p>
        </w:tc>
      </w:tr>
      <w:tr>
        <w:tblPrEx>
          <w:tblCellMar>
            <w:top w:w="0" w:type="dxa"/>
            <w:left w:w="108" w:type="dxa"/>
            <w:bottom w:w="0" w:type="dxa"/>
            <w:right w:w="108" w:type="dxa"/>
          </w:tblCellMar>
        </w:tblPrEx>
        <w:trPr>
          <w:trHeight w:val="734" w:hRule="exact"/>
          <w:jc w:val="center"/>
        </w:trPr>
        <w:tc>
          <w:tcPr>
            <w:tcW w:w="1331"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r>
              <w:rPr>
                <w:rFonts w:hint="eastAsia" w:ascii="宋体" w:hAnsi="宋体" w:cs="宋体"/>
                <w:color w:val="auto"/>
                <w:spacing w:val="-7"/>
                <w:sz w:val="21"/>
                <w:szCs w:val="21"/>
                <w:highlight w:val="none"/>
              </w:rPr>
              <w:t>规格和型号</w:t>
            </w:r>
          </w:p>
        </w:tc>
        <w:tc>
          <w:tcPr>
            <w:tcW w:w="3669"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p>
        </w:tc>
      </w:tr>
      <w:tr>
        <w:tblPrEx>
          <w:tblCellMar>
            <w:top w:w="0" w:type="dxa"/>
            <w:left w:w="108" w:type="dxa"/>
            <w:bottom w:w="0" w:type="dxa"/>
            <w:right w:w="108" w:type="dxa"/>
          </w:tblCellMar>
        </w:tblPrEx>
        <w:trPr>
          <w:trHeight w:val="742" w:hRule="exact"/>
          <w:jc w:val="center"/>
        </w:trPr>
        <w:tc>
          <w:tcPr>
            <w:tcW w:w="1331"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r>
              <w:rPr>
                <w:rFonts w:hint="eastAsia" w:ascii="宋体" w:hAnsi="宋体" w:cs="宋体"/>
                <w:color w:val="auto"/>
                <w:spacing w:val="-7"/>
                <w:sz w:val="21"/>
                <w:szCs w:val="21"/>
                <w:highlight w:val="none"/>
              </w:rPr>
              <w:t>项目名称</w:t>
            </w:r>
          </w:p>
        </w:tc>
        <w:tc>
          <w:tcPr>
            <w:tcW w:w="3669"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p>
        </w:tc>
      </w:tr>
      <w:tr>
        <w:tblPrEx>
          <w:tblCellMar>
            <w:top w:w="0" w:type="dxa"/>
            <w:left w:w="108" w:type="dxa"/>
            <w:bottom w:w="0" w:type="dxa"/>
            <w:right w:w="108" w:type="dxa"/>
          </w:tblCellMar>
        </w:tblPrEx>
        <w:trPr>
          <w:trHeight w:val="737" w:hRule="exact"/>
          <w:jc w:val="center"/>
        </w:trPr>
        <w:tc>
          <w:tcPr>
            <w:tcW w:w="1331"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r>
              <w:rPr>
                <w:rFonts w:hint="eastAsia" w:ascii="宋体" w:hAnsi="宋体" w:cs="宋体"/>
                <w:color w:val="auto"/>
                <w:spacing w:val="-7"/>
                <w:sz w:val="21"/>
                <w:szCs w:val="21"/>
                <w:highlight w:val="none"/>
              </w:rPr>
              <w:t>买方名称</w:t>
            </w:r>
          </w:p>
        </w:tc>
        <w:tc>
          <w:tcPr>
            <w:tcW w:w="3669"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p>
        </w:tc>
      </w:tr>
      <w:tr>
        <w:tblPrEx>
          <w:tblCellMar>
            <w:top w:w="0" w:type="dxa"/>
            <w:left w:w="108" w:type="dxa"/>
            <w:bottom w:w="0" w:type="dxa"/>
            <w:right w:w="108" w:type="dxa"/>
          </w:tblCellMar>
        </w:tblPrEx>
        <w:trPr>
          <w:trHeight w:val="742" w:hRule="exact"/>
          <w:jc w:val="center"/>
        </w:trPr>
        <w:tc>
          <w:tcPr>
            <w:tcW w:w="1331"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r>
              <w:rPr>
                <w:rFonts w:hint="eastAsia" w:ascii="宋体" w:hAnsi="宋体" w:cs="宋体"/>
                <w:color w:val="auto"/>
                <w:spacing w:val="-7"/>
                <w:sz w:val="21"/>
                <w:szCs w:val="21"/>
                <w:highlight w:val="none"/>
              </w:rPr>
              <w:t>买方联系人及电话</w:t>
            </w:r>
          </w:p>
        </w:tc>
        <w:tc>
          <w:tcPr>
            <w:tcW w:w="3669"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p>
        </w:tc>
      </w:tr>
      <w:tr>
        <w:tblPrEx>
          <w:tblCellMar>
            <w:top w:w="0" w:type="dxa"/>
            <w:left w:w="108" w:type="dxa"/>
            <w:bottom w:w="0" w:type="dxa"/>
            <w:right w:w="108" w:type="dxa"/>
          </w:tblCellMar>
        </w:tblPrEx>
        <w:trPr>
          <w:trHeight w:val="740" w:hRule="exact"/>
          <w:jc w:val="center"/>
        </w:trPr>
        <w:tc>
          <w:tcPr>
            <w:tcW w:w="1331"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r>
              <w:rPr>
                <w:rFonts w:hint="eastAsia" w:ascii="宋体" w:hAnsi="宋体" w:cs="宋体"/>
                <w:color w:val="auto"/>
                <w:spacing w:val="-7"/>
                <w:sz w:val="21"/>
                <w:szCs w:val="21"/>
                <w:highlight w:val="none"/>
              </w:rPr>
              <w:t>合同价格</w:t>
            </w:r>
          </w:p>
        </w:tc>
        <w:tc>
          <w:tcPr>
            <w:tcW w:w="3669"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p>
        </w:tc>
      </w:tr>
      <w:tr>
        <w:tblPrEx>
          <w:tblCellMar>
            <w:top w:w="0" w:type="dxa"/>
            <w:left w:w="108" w:type="dxa"/>
            <w:bottom w:w="0" w:type="dxa"/>
            <w:right w:w="108" w:type="dxa"/>
          </w:tblCellMar>
        </w:tblPrEx>
        <w:trPr>
          <w:trHeight w:val="3673" w:hRule="exact"/>
          <w:jc w:val="center"/>
        </w:trPr>
        <w:tc>
          <w:tcPr>
            <w:tcW w:w="1331"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lang w:eastAsia="zh-CN"/>
              </w:rPr>
            </w:pPr>
            <w:r>
              <w:rPr>
                <w:rFonts w:hint="eastAsia" w:ascii="宋体" w:hAnsi="宋体" w:cs="宋体"/>
                <w:color w:val="auto"/>
                <w:spacing w:val="-7"/>
                <w:sz w:val="21"/>
                <w:szCs w:val="21"/>
                <w:highlight w:val="none"/>
                <w:lang w:eastAsia="zh-CN"/>
              </w:rPr>
              <w:t>项目概况及供应商履</w:t>
            </w:r>
          </w:p>
          <w:p>
            <w:pPr>
              <w:adjustRightInd w:val="0"/>
              <w:snapToGrid w:val="0"/>
              <w:jc w:val="center"/>
              <w:rPr>
                <w:rFonts w:ascii="宋体"/>
                <w:color w:val="auto"/>
                <w:sz w:val="21"/>
                <w:szCs w:val="21"/>
                <w:highlight w:val="none"/>
                <w:lang w:eastAsia="zh-CN"/>
              </w:rPr>
            </w:pPr>
            <w:r>
              <w:rPr>
                <w:rFonts w:hint="eastAsia" w:ascii="宋体" w:hAnsi="宋体" w:cs="宋体"/>
                <w:color w:val="auto"/>
                <w:spacing w:val="-2"/>
                <w:sz w:val="21"/>
                <w:szCs w:val="21"/>
                <w:highlight w:val="none"/>
                <w:lang w:eastAsia="zh-CN"/>
              </w:rPr>
              <w:t>约情况</w:t>
            </w:r>
          </w:p>
        </w:tc>
        <w:tc>
          <w:tcPr>
            <w:tcW w:w="3669"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lang w:eastAsia="zh-CN"/>
              </w:rPr>
            </w:pPr>
          </w:p>
        </w:tc>
      </w:tr>
      <w:tr>
        <w:tblPrEx>
          <w:tblCellMar>
            <w:top w:w="0" w:type="dxa"/>
            <w:left w:w="108" w:type="dxa"/>
            <w:bottom w:w="0" w:type="dxa"/>
            <w:right w:w="108" w:type="dxa"/>
          </w:tblCellMar>
        </w:tblPrEx>
        <w:trPr>
          <w:trHeight w:val="759" w:hRule="exact"/>
          <w:jc w:val="center"/>
        </w:trPr>
        <w:tc>
          <w:tcPr>
            <w:tcW w:w="1331"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r>
              <w:rPr>
                <w:rFonts w:hint="eastAsia" w:ascii="宋体" w:hAnsi="宋体" w:cs="宋体"/>
                <w:color w:val="auto"/>
                <w:spacing w:val="-2"/>
                <w:sz w:val="21"/>
                <w:szCs w:val="21"/>
                <w:highlight w:val="none"/>
              </w:rPr>
              <w:t>备注</w:t>
            </w:r>
          </w:p>
        </w:tc>
        <w:tc>
          <w:tcPr>
            <w:tcW w:w="3669" w:type="pc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color w:val="auto"/>
                <w:sz w:val="21"/>
                <w:szCs w:val="21"/>
                <w:highlight w:val="none"/>
              </w:rPr>
            </w:pPr>
          </w:p>
        </w:tc>
      </w:tr>
    </w:tbl>
    <w:p>
      <w:pPr>
        <w:keepNext/>
        <w:spacing w:line="360" w:lineRule="auto"/>
        <w:rPr>
          <w:rFonts w:ascii="宋体"/>
          <w:color w:val="auto"/>
          <w:sz w:val="21"/>
          <w:szCs w:val="21"/>
          <w:highlight w:val="none"/>
          <w:lang w:eastAsia="zh-CN"/>
        </w:rPr>
      </w:pPr>
      <w:r>
        <w:rPr>
          <w:rFonts w:hint="eastAsia" w:ascii="宋体" w:hAnsi="宋体" w:cs="宋体"/>
          <w:color w:val="auto"/>
          <w:sz w:val="21"/>
          <w:szCs w:val="21"/>
          <w:highlight w:val="none"/>
          <w:lang w:eastAsia="zh-CN"/>
        </w:rPr>
        <w:t>注：合同等的复印件（或扫描件）</w:t>
      </w:r>
    </w:p>
    <w:p>
      <w:pPr>
        <w:pStyle w:val="50"/>
        <w:keepNext/>
        <w:spacing w:line="360" w:lineRule="auto"/>
        <w:ind w:firstLine="0"/>
        <w:jc w:val="center"/>
        <w:rPr>
          <w:rFonts w:cs="Times New Roman"/>
          <w:color w:val="auto"/>
          <w:sz w:val="21"/>
          <w:szCs w:val="21"/>
          <w:highlight w:val="none"/>
          <w:lang w:eastAsia="zh-CN"/>
        </w:rPr>
      </w:pPr>
      <w:r>
        <w:rPr>
          <w:rFonts w:cs="Times New Roman"/>
          <w:color w:val="auto"/>
          <w:sz w:val="21"/>
          <w:szCs w:val="21"/>
          <w:highlight w:val="none"/>
        </w:rPr>
        <w:br w:type="page"/>
      </w:r>
      <w:bookmarkStart w:id="569" w:name="bookmark648"/>
      <w:bookmarkStart w:id="570" w:name="bookmark649"/>
      <w:bookmarkStart w:id="571" w:name="bookmark647"/>
    </w:p>
    <w:bookmarkEnd w:id="569"/>
    <w:bookmarkEnd w:id="570"/>
    <w:bookmarkEnd w:id="571"/>
    <w:p>
      <w:pPr>
        <w:pStyle w:val="4"/>
        <w:keepLines w:val="0"/>
        <w:spacing w:before="0" w:after="0" w:line="360" w:lineRule="auto"/>
        <w:jc w:val="center"/>
        <w:rPr>
          <w:rFonts w:ascii="宋体"/>
          <w:color w:val="auto"/>
          <w:highlight w:val="none"/>
          <w:lang w:eastAsia="zh-CN"/>
        </w:rPr>
      </w:pPr>
      <w:bookmarkStart w:id="572" w:name="_Toc79479679"/>
      <w:r>
        <w:rPr>
          <w:rFonts w:hint="eastAsia" w:ascii="宋体" w:hAnsi="宋体" w:cs="宋体"/>
          <w:color w:val="auto"/>
          <w:sz w:val="21"/>
          <w:szCs w:val="21"/>
          <w:highlight w:val="none"/>
          <w:lang w:eastAsia="zh-CN"/>
        </w:rPr>
        <w:t>（二）供应商需提交的其他资料</w:t>
      </w:r>
      <w:bookmarkEnd w:id="57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wordWrap w:val="0"/>
      <w:jc w:val="right"/>
      <w:rPr>
        <w:rFonts w:ascii="宋体"/>
        <w:b/>
        <w:bCs/>
        <w:lang w:eastAsia="zh-CN"/>
      </w:rPr>
    </w:pPr>
    <w:r>
      <w:rPr>
        <w:rFonts w:hint="eastAsia" w:ascii="宋体" w:hAnsi="宋体" w:cs="宋体"/>
        <w:b/>
        <w:bCs/>
        <w:sz w:val="15"/>
        <w:szCs w:val="15"/>
        <w:lang w:eastAsia="zh-CN"/>
      </w:rPr>
      <w:t>第</w:t>
    </w:r>
    <w:r>
      <w:rPr>
        <w:rFonts w:ascii="宋体" w:hAnsi="宋体" w:cs="宋体"/>
        <w:b/>
        <w:bCs/>
        <w:sz w:val="15"/>
        <w:szCs w:val="15"/>
        <w:lang w:eastAsia="zh-CN"/>
      </w:rPr>
      <w:fldChar w:fldCharType="begin"/>
    </w:r>
    <w:r>
      <w:rPr>
        <w:rFonts w:ascii="宋体" w:hAnsi="宋体" w:cs="宋体"/>
        <w:b/>
        <w:bCs/>
        <w:sz w:val="15"/>
        <w:szCs w:val="15"/>
        <w:lang w:eastAsia="zh-CN"/>
      </w:rPr>
      <w:instrText xml:space="preserve"> PAGE </w:instrText>
    </w:r>
    <w:r>
      <w:rPr>
        <w:rFonts w:ascii="宋体" w:hAnsi="宋体" w:cs="宋体"/>
        <w:b/>
        <w:bCs/>
        <w:sz w:val="15"/>
        <w:szCs w:val="15"/>
        <w:lang w:eastAsia="zh-CN"/>
      </w:rPr>
      <w:fldChar w:fldCharType="separate"/>
    </w:r>
    <w:r>
      <w:rPr>
        <w:rFonts w:ascii="宋体" w:hAnsi="宋体" w:cs="宋体"/>
        <w:b/>
        <w:bCs/>
        <w:sz w:val="15"/>
        <w:szCs w:val="15"/>
        <w:lang w:eastAsia="zh-CN"/>
      </w:rPr>
      <w:t>34</w:t>
    </w:r>
    <w:r>
      <w:rPr>
        <w:rFonts w:ascii="宋体" w:hAnsi="宋体" w:cs="宋体"/>
        <w:b/>
        <w:bCs/>
        <w:sz w:val="15"/>
        <w:szCs w:val="15"/>
        <w:lang w:eastAsia="zh-CN"/>
      </w:rPr>
      <w:fldChar w:fldCharType="end"/>
    </w:r>
    <w:r>
      <w:rPr>
        <w:rFonts w:hint="eastAsia" w:ascii="宋体" w:hAnsi="宋体" w:cs="宋体"/>
        <w:b/>
        <w:bCs/>
        <w:sz w:val="15"/>
        <w:szCs w:val="15"/>
        <w:lang w:eastAsia="zh-C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ascii="宋体" w:hAnsi="宋体" w:cs="宋体"/>
        <w:sz w:val="18"/>
        <w:szCs w:val="18"/>
        <w:lang w:eastAsia="zh-CN"/>
      </w:rPr>
    </w:pPr>
    <w:r>
      <w:rPr>
        <w:rFonts w:ascii="宋体" w:hAnsi="宋体" w:cs="宋体"/>
        <w:sz w:val="18"/>
        <w:szCs w:val="18"/>
        <w:lang w:eastAsia="zh-CN"/>
      </w:rPr>
      <w:drawing>
        <wp:anchor distT="0" distB="0" distL="114300" distR="114300" simplePos="0" relativeHeight="251659264" behindDoc="0" locked="0" layoutInCell="1" allowOverlap="1">
          <wp:simplePos x="0" y="0"/>
          <wp:positionH relativeFrom="column">
            <wp:posOffset>34925</wp:posOffset>
          </wp:positionH>
          <wp:positionV relativeFrom="paragraph">
            <wp:posOffset>-86360</wp:posOffset>
          </wp:positionV>
          <wp:extent cx="616585" cy="297815"/>
          <wp:effectExtent l="0" t="0" r="0" b="698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6585" cy="297815"/>
                  </a:xfrm>
                  <a:prstGeom prst="rect">
                    <a:avLst/>
                  </a:prstGeom>
                </pic:spPr>
              </pic:pic>
            </a:graphicData>
          </a:graphic>
        </wp:anchor>
      </w:drawing>
    </w:r>
    <w:r>
      <w:rPr>
        <w:rFonts w:hint="eastAsia" w:ascii="宋体" w:hAnsi="宋体" w:cs="宋体"/>
        <w:sz w:val="18"/>
        <w:szCs w:val="18"/>
        <w:lang w:eastAsia="zh-CN"/>
      </w:rPr>
      <w:t xml:space="preserve">                                                    液压支架阀组等维修配件采购询比采购文件</w:t>
    </w:r>
  </w:p>
  <w:p>
    <w:pPr>
      <w:spacing w:line="1" w:lineRule="exac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lang w:eastAsia="zh-CN"/>
      </w:rPr>
    </w:pPr>
  </w:p>
  <w:p>
    <w:pPr>
      <w:spacing w:line="1" w:lineRule="exact"/>
      <w:rPr>
        <w:lang w:eastAsia="zh-CN"/>
      </w:rPr>
    </w:pPr>
  </w:p>
  <w:p>
    <w:pPr>
      <w:pStyle w:val="18"/>
      <w:pBdr>
        <w:top w:val="none" w:color="auto" w:sz="0" w:space="0"/>
        <w:left w:val="none" w:color="auto" w:sz="0" w:space="0"/>
        <w:bottom w:val="none" w:color="auto" w:sz="0" w:space="0"/>
        <w:right w:val="none" w:color="auto" w:sz="0" w:space="0"/>
      </w:pBd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76DFE"/>
    <w:multiLevelType w:val="singleLevel"/>
    <w:tmpl w:val="9C176DFE"/>
    <w:lvl w:ilvl="0" w:tentative="0">
      <w:start w:val="1"/>
      <w:numFmt w:val="decimal"/>
      <w:suff w:val="space"/>
      <w:lvlText w:val="（%1）"/>
      <w:lvlJc w:val="left"/>
      <w:rPr>
        <w:rFonts w:cs="Times New Roman"/>
      </w:rPr>
    </w:lvl>
  </w:abstractNum>
  <w:abstractNum w:abstractNumId="1">
    <w:nsid w:val="FE7830D7"/>
    <w:multiLevelType w:val="singleLevel"/>
    <w:tmpl w:val="FE7830D7"/>
    <w:lvl w:ilvl="0" w:tentative="0">
      <w:start w:val="2"/>
      <w:numFmt w:val="chineseCounting"/>
      <w:lvlText w:val="(%1)"/>
      <w:lvlJc w:val="left"/>
      <w:pPr>
        <w:tabs>
          <w:tab w:val="left" w:pos="312"/>
        </w:tabs>
      </w:pPr>
      <w:rPr>
        <w:rFonts w:hint="eastAsia"/>
      </w:rPr>
    </w:lvl>
  </w:abstractNum>
  <w:abstractNum w:abstractNumId="2">
    <w:nsid w:val="33242B74"/>
    <w:multiLevelType w:val="multilevel"/>
    <w:tmpl w:val="33242B7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260B5B"/>
    <w:multiLevelType w:val="singleLevel"/>
    <w:tmpl w:val="40260B5B"/>
    <w:lvl w:ilvl="0" w:tentative="0">
      <w:start w:val="6"/>
      <w:numFmt w:val="chineseCounting"/>
      <w:suff w:val="space"/>
      <w:lvlText w:val="第%1章"/>
      <w:lvlJc w:val="left"/>
      <w:rPr>
        <w:rFonts w:hint="eastAsia" w:cs="Times New Roman"/>
      </w:rPr>
    </w:lvl>
  </w:abstractNum>
  <w:abstractNum w:abstractNumId="4">
    <w:nsid w:val="6C11010D"/>
    <w:multiLevelType w:val="singleLevel"/>
    <w:tmpl w:val="6C11010D"/>
    <w:lvl w:ilvl="0" w:tentative="0">
      <w:start w:val="1"/>
      <w:numFmt w:val="chineseCounting"/>
      <w:suff w:val="nothing"/>
      <w:lvlText w:val="%1、"/>
      <w:lvlJc w:val="left"/>
      <w:pPr>
        <w:ind w:left="421" w:firstLine="0"/>
      </w:pPr>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DM2YWQxOGU4NmFkZDU2NmJiNTMyNjBjNzEzOWZjYzMifQ=="/>
  </w:docVars>
  <w:rsids>
    <w:rsidRoot w:val="2CD6104C"/>
    <w:rsid w:val="00003AAD"/>
    <w:rsid w:val="000049DA"/>
    <w:rsid w:val="00005375"/>
    <w:rsid w:val="000075EF"/>
    <w:rsid w:val="000100F7"/>
    <w:rsid w:val="0001250E"/>
    <w:rsid w:val="00013DEE"/>
    <w:rsid w:val="000207AE"/>
    <w:rsid w:val="00021DE1"/>
    <w:rsid w:val="0002297C"/>
    <w:rsid w:val="00026F47"/>
    <w:rsid w:val="00030572"/>
    <w:rsid w:val="00031049"/>
    <w:rsid w:val="00034CF2"/>
    <w:rsid w:val="00037C9B"/>
    <w:rsid w:val="0004346E"/>
    <w:rsid w:val="00044083"/>
    <w:rsid w:val="000440C6"/>
    <w:rsid w:val="00044CDE"/>
    <w:rsid w:val="000451DC"/>
    <w:rsid w:val="000517FE"/>
    <w:rsid w:val="00051D6C"/>
    <w:rsid w:val="00052CA0"/>
    <w:rsid w:val="00057761"/>
    <w:rsid w:val="000618EC"/>
    <w:rsid w:val="00063A33"/>
    <w:rsid w:val="00063BE0"/>
    <w:rsid w:val="00065ED3"/>
    <w:rsid w:val="0006774F"/>
    <w:rsid w:val="00070691"/>
    <w:rsid w:val="0008165A"/>
    <w:rsid w:val="00081995"/>
    <w:rsid w:val="00082084"/>
    <w:rsid w:val="0008231D"/>
    <w:rsid w:val="0008251A"/>
    <w:rsid w:val="000859D6"/>
    <w:rsid w:val="000860E9"/>
    <w:rsid w:val="0009342C"/>
    <w:rsid w:val="000A0221"/>
    <w:rsid w:val="000A7E41"/>
    <w:rsid w:val="000B0540"/>
    <w:rsid w:val="000B23AF"/>
    <w:rsid w:val="000B2489"/>
    <w:rsid w:val="000B4591"/>
    <w:rsid w:val="000C2F83"/>
    <w:rsid w:val="000C51BA"/>
    <w:rsid w:val="000E07FD"/>
    <w:rsid w:val="000E4134"/>
    <w:rsid w:val="000E598E"/>
    <w:rsid w:val="000E5991"/>
    <w:rsid w:val="000F15B3"/>
    <w:rsid w:val="000F5428"/>
    <w:rsid w:val="00100F52"/>
    <w:rsid w:val="00101110"/>
    <w:rsid w:val="001024A3"/>
    <w:rsid w:val="00104353"/>
    <w:rsid w:val="001058DA"/>
    <w:rsid w:val="001071AC"/>
    <w:rsid w:val="001071B6"/>
    <w:rsid w:val="00112196"/>
    <w:rsid w:val="001142EE"/>
    <w:rsid w:val="00127431"/>
    <w:rsid w:val="001275D1"/>
    <w:rsid w:val="001300FC"/>
    <w:rsid w:val="0013026C"/>
    <w:rsid w:val="00136C5B"/>
    <w:rsid w:val="00146DEE"/>
    <w:rsid w:val="001470F5"/>
    <w:rsid w:val="001563F0"/>
    <w:rsid w:val="00170A00"/>
    <w:rsid w:val="00173D8B"/>
    <w:rsid w:val="00175E01"/>
    <w:rsid w:val="0017713F"/>
    <w:rsid w:val="001806CD"/>
    <w:rsid w:val="001831FD"/>
    <w:rsid w:val="00184E5C"/>
    <w:rsid w:val="00185A02"/>
    <w:rsid w:val="00193607"/>
    <w:rsid w:val="001A3909"/>
    <w:rsid w:val="001A3CDA"/>
    <w:rsid w:val="001A4BAC"/>
    <w:rsid w:val="001A68C5"/>
    <w:rsid w:val="001B3911"/>
    <w:rsid w:val="001C1C19"/>
    <w:rsid w:val="001C2F7E"/>
    <w:rsid w:val="001C41FD"/>
    <w:rsid w:val="001C42DE"/>
    <w:rsid w:val="001D2280"/>
    <w:rsid w:val="001D4156"/>
    <w:rsid w:val="001D5BE0"/>
    <w:rsid w:val="001D5E46"/>
    <w:rsid w:val="001E191E"/>
    <w:rsid w:val="001E4993"/>
    <w:rsid w:val="001E6147"/>
    <w:rsid w:val="001F41A3"/>
    <w:rsid w:val="002017DE"/>
    <w:rsid w:val="00203516"/>
    <w:rsid w:val="0020621D"/>
    <w:rsid w:val="00207D08"/>
    <w:rsid w:val="00210C0A"/>
    <w:rsid w:val="0021476A"/>
    <w:rsid w:val="00216BC8"/>
    <w:rsid w:val="00217AC9"/>
    <w:rsid w:val="00220B50"/>
    <w:rsid w:val="002210E2"/>
    <w:rsid w:val="002210ED"/>
    <w:rsid w:val="00225448"/>
    <w:rsid w:val="002255DA"/>
    <w:rsid w:val="0023108B"/>
    <w:rsid w:val="0023108C"/>
    <w:rsid w:val="00233CFA"/>
    <w:rsid w:val="002351DB"/>
    <w:rsid w:val="00241A90"/>
    <w:rsid w:val="00241DD5"/>
    <w:rsid w:val="002422CB"/>
    <w:rsid w:val="002532B8"/>
    <w:rsid w:val="00254551"/>
    <w:rsid w:val="00255687"/>
    <w:rsid w:val="002562D6"/>
    <w:rsid w:val="00257957"/>
    <w:rsid w:val="00261314"/>
    <w:rsid w:val="002624B1"/>
    <w:rsid w:val="002629D8"/>
    <w:rsid w:val="00265D33"/>
    <w:rsid w:val="00267CD2"/>
    <w:rsid w:val="00270C1A"/>
    <w:rsid w:val="00272C59"/>
    <w:rsid w:val="00273980"/>
    <w:rsid w:val="002755A8"/>
    <w:rsid w:val="00286214"/>
    <w:rsid w:val="00292B14"/>
    <w:rsid w:val="002A0E34"/>
    <w:rsid w:val="002A29F7"/>
    <w:rsid w:val="002A2DB9"/>
    <w:rsid w:val="002A60B2"/>
    <w:rsid w:val="002A6A48"/>
    <w:rsid w:val="002A7765"/>
    <w:rsid w:val="002B3297"/>
    <w:rsid w:val="002B4475"/>
    <w:rsid w:val="002B4499"/>
    <w:rsid w:val="002B6959"/>
    <w:rsid w:val="002B74A3"/>
    <w:rsid w:val="002C24B2"/>
    <w:rsid w:val="002C33B3"/>
    <w:rsid w:val="002C39CE"/>
    <w:rsid w:val="002D52F6"/>
    <w:rsid w:val="002D559B"/>
    <w:rsid w:val="002D713A"/>
    <w:rsid w:val="002D754B"/>
    <w:rsid w:val="002D7B04"/>
    <w:rsid w:val="002E276A"/>
    <w:rsid w:val="002E7232"/>
    <w:rsid w:val="002F3DD1"/>
    <w:rsid w:val="002F43B1"/>
    <w:rsid w:val="002F4418"/>
    <w:rsid w:val="002F4F0D"/>
    <w:rsid w:val="002F5213"/>
    <w:rsid w:val="002F5ED8"/>
    <w:rsid w:val="00310F4A"/>
    <w:rsid w:val="0031772A"/>
    <w:rsid w:val="0032035A"/>
    <w:rsid w:val="00324B1E"/>
    <w:rsid w:val="00326388"/>
    <w:rsid w:val="00332A40"/>
    <w:rsid w:val="003336FF"/>
    <w:rsid w:val="00333F97"/>
    <w:rsid w:val="00336E88"/>
    <w:rsid w:val="003418F8"/>
    <w:rsid w:val="00342C0D"/>
    <w:rsid w:val="00344EE3"/>
    <w:rsid w:val="0034588F"/>
    <w:rsid w:val="00354AB2"/>
    <w:rsid w:val="003630C5"/>
    <w:rsid w:val="003648FF"/>
    <w:rsid w:val="00365F7A"/>
    <w:rsid w:val="003661EB"/>
    <w:rsid w:val="00366F76"/>
    <w:rsid w:val="003763F8"/>
    <w:rsid w:val="003778A0"/>
    <w:rsid w:val="00382D5D"/>
    <w:rsid w:val="003853E6"/>
    <w:rsid w:val="00386AF4"/>
    <w:rsid w:val="00387897"/>
    <w:rsid w:val="003A1638"/>
    <w:rsid w:val="003A2071"/>
    <w:rsid w:val="003A2986"/>
    <w:rsid w:val="003A31D6"/>
    <w:rsid w:val="003A5DA5"/>
    <w:rsid w:val="003B0A7C"/>
    <w:rsid w:val="003B269E"/>
    <w:rsid w:val="003B2CCA"/>
    <w:rsid w:val="003B3BB1"/>
    <w:rsid w:val="003B42BD"/>
    <w:rsid w:val="003B6A8A"/>
    <w:rsid w:val="003C1C47"/>
    <w:rsid w:val="003C3EE7"/>
    <w:rsid w:val="003D02D6"/>
    <w:rsid w:val="003D104F"/>
    <w:rsid w:val="003D1A83"/>
    <w:rsid w:val="003D490D"/>
    <w:rsid w:val="003D7923"/>
    <w:rsid w:val="003E17AF"/>
    <w:rsid w:val="003E4476"/>
    <w:rsid w:val="003F3E5A"/>
    <w:rsid w:val="00400231"/>
    <w:rsid w:val="00407767"/>
    <w:rsid w:val="00411298"/>
    <w:rsid w:val="00414807"/>
    <w:rsid w:val="0042013B"/>
    <w:rsid w:val="00420D3D"/>
    <w:rsid w:val="00425A1D"/>
    <w:rsid w:val="0043172C"/>
    <w:rsid w:val="004329B0"/>
    <w:rsid w:val="00434659"/>
    <w:rsid w:val="0043506D"/>
    <w:rsid w:val="00443403"/>
    <w:rsid w:val="0044771E"/>
    <w:rsid w:val="0045034A"/>
    <w:rsid w:val="00451A77"/>
    <w:rsid w:val="00456EA7"/>
    <w:rsid w:val="004623EE"/>
    <w:rsid w:val="00467EB1"/>
    <w:rsid w:val="00471359"/>
    <w:rsid w:val="00473339"/>
    <w:rsid w:val="00473CE4"/>
    <w:rsid w:val="00480196"/>
    <w:rsid w:val="00482845"/>
    <w:rsid w:val="00485B0B"/>
    <w:rsid w:val="00487181"/>
    <w:rsid w:val="0049098F"/>
    <w:rsid w:val="00494410"/>
    <w:rsid w:val="004968C3"/>
    <w:rsid w:val="004973BB"/>
    <w:rsid w:val="0049774B"/>
    <w:rsid w:val="00497BEE"/>
    <w:rsid w:val="004A27FE"/>
    <w:rsid w:val="004A6851"/>
    <w:rsid w:val="004B2995"/>
    <w:rsid w:val="004B4E51"/>
    <w:rsid w:val="004C0DA9"/>
    <w:rsid w:val="004E0C6D"/>
    <w:rsid w:val="004E3E3E"/>
    <w:rsid w:val="004E7D63"/>
    <w:rsid w:val="004F38C1"/>
    <w:rsid w:val="004F6D7E"/>
    <w:rsid w:val="00512D63"/>
    <w:rsid w:val="005142C5"/>
    <w:rsid w:val="005151F0"/>
    <w:rsid w:val="00526A48"/>
    <w:rsid w:val="00527EC6"/>
    <w:rsid w:val="00530EE4"/>
    <w:rsid w:val="00531438"/>
    <w:rsid w:val="00532057"/>
    <w:rsid w:val="00532B8A"/>
    <w:rsid w:val="00542218"/>
    <w:rsid w:val="0054338D"/>
    <w:rsid w:val="0055170C"/>
    <w:rsid w:val="00556DBC"/>
    <w:rsid w:val="00557A11"/>
    <w:rsid w:val="00570A74"/>
    <w:rsid w:val="005712FA"/>
    <w:rsid w:val="005758F8"/>
    <w:rsid w:val="00576B22"/>
    <w:rsid w:val="00576E45"/>
    <w:rsid w:val="00577EA6"/>
    <w:rsid w:val="00581D97"/>
    <w:rsid w:val="00582B01"/>
    <w:rsid w:val="0058435B"/>
    <w:rsid w:val="00592A16"/>
    <w:rsid w:val="00592A83"/>
    <w:rsid w:val="0059424D"/>
    <w:rsid w:val="00597A7C"/>
    <w:rsid w:val="005A4997"/>
    <w:rsid w:val="005A6A26"/>
    <w:rsid w:val="005A7882"/>
    <w:rsid w:val="005B123B"/>
    <w:rsid w:val="005B13C8"/>
    <w:rsid w:val="005B7123"/>
    <w:rsid w:val="005B7E68"/>
    <w:rsid w:val="005C054B"/>
    <w:rsid w:val="005C19E2"/>
    <w:rsid w:val="005C4F29"/>
    <w:rsid w:val="005D7198"/>
    <w:rsid w:val="005E5508"/>
    <w:rsid w:val="005E6528"/>
    <w:rsid w:val="005F25A2"/>
    <w:rsid w:val="005F5BA8"/>
    <w:rsid w:val="005F6E0C"/>
    <w:rsid w:val="0060078A"/>
    <w:rsid w:val="00601A04"/>
    <w:rsid w:val="006079E5"/>
    <w:rsid w:val="00607A1E"/>
    <w:rsid w:val="006154F0"/>
    <w:rsid w:val="00615FE3"/>
    <w:rsid w:val="00621E7B"/>
    <w:rsid w:val="006246CB"/>
    <w:rsid w:val="00631D6E"/>
    <w:rsid w:val="00636506"/>
    <w:rsid w:val="00643526"/>
    <w:rsid w:val="0064441A"/>
    <w:rsid w:val="0064606C"/>
    <w:rsid w:val="00646FCC"/>
    <w:rsid w:val="00652905"/>
    <w:rsid w:val="00655955"/>
    <w:rsid w:val="00663034"/>
    <w:rsid w:val="006639D5"/>
    <w:rsid w:val="00671AF1"/>
    <w:rsid w:val="0067458C"/>
    <w:rsid w:val="00675CAC"/>
    <w:rsid w:val="0067733E"/>
    <w:rsid w:val="00684942"/>
    <w:rsid w:val="00691935"/>
    <w:rsid w:val="006933C3"/>
    <w:rsid w:val="006A1C9A"/>
    <w:rsid w:val="006A468E"/>
    <w:rsid w:val="006A7EDA"/>
    <w:rsid w:val="006B0E39"/>
    <w:rsid w:val="006B1045"/>
    <w:rsid w:val="006B5099"/>
    <w:rsid w:val="006B5424"/>
    <w:rsid w:val="006B551D"/>
    <w:rsid w:val="006B6EEA"/>
    <w:rsid w:val="006C0E75"/>
    <w:rsid w:val="006C4614"/>
    <w:rsid w:val="006C46A8"/>
    <w:rsid w:val="006D000D"/>
    <w:rsid w:val="006D17A6"/>
    <w:rsid w:val="006D391E"/>
    <w:rsid w:val="006D7742"/>
    <w:rsid w:val="006E10BD"/>
    <w:rsid w:val="006E3836"/>
    <w:rsid w:val="006E409C"/>
    <w:rsid w:val="006E523A"/>
    <w:rsid w:val="006E5A88"/>
    <w:rsid w:val="006E5DC0"/>
    <w:rsid w:val="006F3787"/>
    <w:rsid w:val="00702408"/>
    <w:rsid w:val="00702A7C"/>
    <w:rsid w:val="007037EE"/>
    <w:rsid w:val="00704C9B"/>
    <w:rsid w:val="007071D6"/>
    <w:rsid w:val="0071511C"/>
    <w:rsid w:val="00720B74"/>
    <w:rsid w:val="00723396"/>
    <w:rsid w:val="00723C6B"/>
    <w:rsid w:val="00726A12"/>
    <w:rsid w:val="0073019E"/>
    <w:rsid w:val="00730A57"/>
    <w:rsid w:val="007405C8"/>
    <w:rsid w:val="00743650"/>
    <w:rsid w:val="00744089"/>
    <w:rsid w:val="007509F5"/>
    <w:rsid w:val="00756182"/>
    <w:rsid w:val="007567FB"/>
    <w:rsid w:val="00756A2A"/>
    <w:rsid w:val="00760944"/>
    <w:rsid w:val="00764726"/>
    <w:rsid w:val="00767415"/>
    <w:rsid w:val="0078363F"/>
    <w:rsid w:val="00784179"/>
    <w:rsid w:val="007849A3"/>
    <w:rsid w:val="00785288"/>
    <w:rsid w:val="00787988"/>
    <w:rsid w:val="0079476E"/>
    <w:rsid w:val="0079507B"/>
    <w:rsid w:val="00795772"/>
    <w:rsid w:val="00796AA8"/>
    <w:rsid w:val="007A5AC8"/>
    <w:rsid w:val="007A5B87"/>
    <w:rsid w:val="007B086A"/>
    <w:rsid w:val="007B359C"/>
    <w:rsid w:val="007C6803"/>
    <w:rsid w:val="007D237E"/>
    <w:rsid w:val="007D53D3"/>
    <w:rsid w:val="007E0DF8"/>
    <w:rsid w:val="007F1A0D"/>
    <w:rsid w:val="007F1F73"/>
    <w:rsid w:val="007F7C58"/>
    <w:rsid w:val="0080407B"/>
    <w:rsid w:val="00804C84"/>
    <w:rsid w:val="0081616C"/>
    <w:rsid w:val="00817D70"/>
    <w:rsid w:val="00821A0A"/>
    <w:rsid w:val="00822A87"/>
    <w:rsid w:val="008238FE"/>
    <w:rsid w:val="008276F0"/>
    <w:rsid w:val="0083083D"/>
    <w:rsid w:val="00831C46"/>
    <w:rsid w:val="00834319"/>
    <w:rsid w:val="008369E8"/>
    <w:rsid w:val="00851B17"/>
    <w:rsid w:val="00853D41"/>
    <w:rsid w:val="008562C1"/>
    <w:rsid w:val="0085728C"/>
    <w:rsid w:val="00861D37"/>
    <w:rsid w:val="008652FE"/>
    <w:rsid w:val="00871198"/>
    <w:rsid w:val="00882772"/>
    <w:rsid w:val="00883724"/>
    <w:rsid w:val="00886E2F"/>
    <w:rsid w:val="00887D05"/>
    <w:rsid w:val="00887F1D"/>
    <w:rsid w:val="00891549"/>
    <w:rsid w:val="008939E7"/>
    <w:rsid w:val="008A2B1B"/>
    <w:rsid w:val="008A66E8"/>
    <w:rsid w:val="008B0E64"/>
    <w:rsid w:val="008B5E48"/>
    <w:rsid w:val="008B6023"/>
    <w:rsid w:val="008B6C0B"/>
    <w:rsid w:val="008C0577"/>
    <w:rsid w:val="008C4BAC"/>
    <w:rsid w:val="008C5A21"/>
    <w:rsid w:val="008C71C1"/>
    <w:rsid w:val="008C7371"/>
    <w:rsid w:val="008D1996"/>
    <w:rsid w:val="008D19D7"/>
    <w:rsid w:val="008D516C"/>
    <w:rsid w:val="008D57D1"/>
    <w:rsid w:val="008E3CF2"/>
    <w:rsid w:val="008E5582"/>
    <w:rsid w:val="008E77D7"/>
    <w:rsid w:val="008F40B9"/>
    <w:rsid w:val="00900936"/>
    <w:rsid w:val="0090445A"/>
    <w:rsid w:val="0090638A"/>
    <w:rsid w:val="0091241B"/>
    <w:rsid w:val="00913261"/>
    <w:rsid w:val="00913670"/>
    <w:rsid w:val="00915B1B"/>
    <w:rsid w:val="0091734F"/>
    <w:rsid w:val="00922111"/>
    <w:rsid w:val="00923F46"/>
    <w:rsid w:val="00925E08"/>
    <w:rsid w:val="00930A6E"/>
    <w:rsid w:val="00931EEC"/>
    <w:rsid w:val="00933B3B"/>
    <w:rsid w:val="00943FA8"/>
    <w:rsid w:val="0094600D"/>
    <w:rsid w:val="0095210E"/>
    <w:rsid w:val="00954EDD"/>
    <w:rsid w:val="00955946"/>
    <w:rsid w:val="009603D3"/>
    <w:rsid w:val="009658F3"/>
    <w:rsid w:val="0097368C"/>
    <w:rsid w:val="009760F5"/>
    <w:rsid w:val="00977EC6"/>
    <w:rsid w:val="009810C9"/>
    <w:rsid w:val="0098266F"/>
    <w:rsid w:val="009832F6"/>
    <w:rsid w:val="009847DD"/>
    <w:rsid w:val="0099106F"/>
    <w:rsid w:val="00991F38"/>
    <w:rsid w:val="009924A0"/>
    <w:rsid w:val="0099752F"/>
    <w:rsid w:val="009A2477"/>
    <w:rsid w:val="009A2E2E"/>
    <w:rsid w:val="009A2EBF"/>
    <w:rsid w:val="009A3559"/>
    <w:rsid w:val="009A58A5"/>
    <w:rsid w:val="009A5B16"/>
    <w:rsid w:val="009A7496"/>
    <w:rsid w:val="009B331F"/>
    <w:rsid w:val="009B3D29"/>
    <w:rsid w:val="009B42DF"/>
    <w:rsid w:val="009B6B6D"/>
    <w:rsid w:val="009C7636"/>
    <w:rsid w:val="009D2625"/>
    <w:rsid w:val="009D52EE"/>
    <w:rsid w:val="009D576F"/>
    <w:rsid w:val="009D5A94"/>
    <w:rsid w:val="009E18D2"/>
    <w:rsid w:val="009E2AF7"/>
    <w:rsid w:val="009F0C9E"/>
    <w:rsid w:val="009F4526"/>
    <w:rsid w:val="009F5A65"/>
    <w:rsid w:val="009F6A3D"/>
    <w:rsid w:val="009F6D78"/>
    <w:rsid w:val="00A0205D"/>
    <w:rsid w:val="00A04772"/>
    <w:rsid w:val="00A1160C"/>
    <w:rsid w:val="00A1244C"/>
    <w:rsid w:val="00A15B8A"/>
    <w:rsid w:val="00A15BE8"/>
    <w:rsid w:val="00A23E72"/>
    <w:rsid w:val="00A24384"/>
    <w:rsid w:val="00A25F73"/>
    <w:rsid w:val="00A27642"/>
    <w:rsid w:val="00A33BEA"/>
    <w:rsid w:val="00A4140E"/>
    <w:rsid w:val="00A41C9C"/>
    <w:rsid w:val="00A433CA"/>
    <w:rsid w:val="00A43679"/>
    <w:rsid w:val="00A519BF"/>
    <w:rsid w:val="00A51F9C"/>
    <w:rsid w:val="00A52AE1"/>
    <w:rsid w:val="00A54CAA"/>
    <w:rsid w:val="00A564BC"/>
    <w:rsid w:val="00A64756"/>
    <w:rsid w:val="00A6582D"/>
    <w:rsid w:val="00A7161E"/>
    <w:rsid w:val="00A732A4"/>
    <w:rsid w:val="00A74C8F"/>
    <w:rsid w:val="00A75601"/>
    <w:rsid w:val="00A77085"/>
    <w:rsid w:val="00A7743B"/>
    <w:rsid w:val="00A8247D"/>
    <w:rsid w:val="00A927F3"/>
    <w:rsid w:val="00A92FC4"/>
    <w:rsid w:val="00A967E1"/>
    <w:rsid w:val="00A97061"/>
    <w:rsid w:val="00A9787B"/>
    <w:rsid w:val="00AA04B5"/>
    <w:rsid w:val="00AA1BB4"/>
    <w:rsid w:val="00AA6D42"/>
    <w:rsid w:val="00AB073A"/>
    <w:rsid w:val="00AB0C3A"/>
    <w:rsid w:val="00AB2571"/>
    <w:rsid w:val="00AB275A"/>
    <w:rsid w:val="00AC723A"/>
    <w:rsid w:val="00AC7BE9"/>
    <w:rsid w:val="00AD5BD3"/>
    <w:rsid w:val="00AD6255"/>
    <w:rsid w:val="00AE2FA9"/>
    <w:rsid w:val="00AE32AE"/>
    <w:rsid w:val="00AE4BA3"/>
    <w:rsid w:val="00AE68CD"/>
    <w:rsid w:val="00AF1BC1"/>
    <w:rsid w:val="00AF1D8F"/>
    <w:rsid w:val="00AF3B2D"/>
    <w:rsid w:val="00B147FA"/>
    <w:rsid w:val="00B22BEF"/>
    <w:rsid w:val="00B30B83"/>
    <w:rsid w:val="00B36DAE"/>
    <w:rsid w:val="00B37277"/>
    <w:rsid w:val="00B41EA0"/>
    <w:rsid w:val="00B43D7E"/>
    <w:rsid w:val="00B50539"/>
    <w:rsid w:val="00B51202"/>
    <w:rsid w:val="00B51F83"/>
    <w:rsid w:val="00B52F70"/>
    <w:rsid w:val="00B54F14"/>
    <w:rsid w:val="00B5762A"/>
    <w:rsid w:val="00B63BAF"/>
    <w:rsid w:val="00B70A4A"/>
    <w:rsid w:val="00B70F25"/>
    <w:rsid w:val="00B81964"/>
    <w:rsid w:val="00B84761"/>
    <w:rsid w:val="00B85219"/>
    <w:rsid w:val="00B9022C"/>
    <w:rsid w:val="00B90F91"/>
    <w:rsid w:val="00BA2489"/>
    <w:rsid w:val="00BA5EB0"/>
    <w:rsid w:val="00BA7B28"/>
    <w:rsid w:val="00BB045F"/>
    <w:rsid w:val="00BB27F4"/>
    <w:rsid w:val="00BB2F6D"/>
    <w:rsid w:val="00BB374C"/>
    <w:rsid w:val="00BC0C73"/>
    <w:rsid w:val="00BC1120"/>
    <w:rsid w:val="00BC271C"/>
    <w:rsid w:val="00BC4C61"/>
    <w:rsid w:val="00BC62D2"/>
    <w:rsid w:val="00BD3411"/>
    <w:rsid w:val="00BD63BC"/>
    <w:rsid w:val="00BE0648"/>
    <w:rsid w:val="00BE0D1D"/>
    <w:rsid w:val="00BE1C2F"/>
    <w:rsid w:val="00BE631F"/>
    <w:rsid w:val="00BE6B96"/>
    <w:rsid w:val="00BF7BB5"/>
    <w:rsid w:val="00C00CC2"/>
    <w:rsid w:val="00C01AF6"/>
    <w:rsid w:val="00C045DB"/>
    <w:rsid w:val="00C100F4"/>
    <w:rsid w:val="00C1066B"/>
    <w:rsid w:val="00C120F5"/>
    <w:rsid w:val="00C167C2"/>
    <w:rsid w:val="00C16AFA"/>
    <w:rsid w:val="00C173E1"/>
    <w:rsid w:val="00C17F11"/>
    <w:rsid w:val="00C212E6"/>
    <w:rsid w:val="00C23F13"/>
    <w:rsid w:val="00C2495B"/>
    <w:rsid w:val="00C25EB9"/>
    <w:rsid w:val="00C30569"/>
    <w:rsid w:val="00C33AB9"/>
    <w:rsid w:val="00C34CB4"/>
    <w:rsid w:val="00C3691F"/>
    <w:rsid w:val="00C434A3"/>
    <w:rsid w:val="00C446BC"/>
    <w:rsid w:val="00C47104"/>
    <w:rsid w:val="00C57D4C"/>
    <w:rsid w:val="00C632C5"/>
    <w:rsid w:val="00C64D02"/>
    <w:rsid w:val="00C70985"/>
    <w:rsid w:val="00C71F8B"/>
    <w:rsid w:val="00C73CD3"/>
    <w:rsid w:val="00C76F82"/>
    <w:rsid w:val="00C81593"/>
    <w:rsid w:val="00C8189A"/>
    <w:rsid w:val="00C87CCC"/>
    <w:rsid w:val="00C90EF9"/>
    <w:rsid w:val="00C91101"/>
    <w:rsid w:val="00C918C1"/>
    <w:rsid w:val="00C91C9D"/>
    <w:rsid w:val="00C92A90"/>
    <w:rsid w:val="00C93A94"/>
    <w:rsid w:val="00C946F3"/>
    <w:rsid w:val="00C95190"/>
    <w:rsid w:val="00C972A6"/>
    <w:rsid w:val="00CA00CD"/>
    <w:rsid w:val="00CA3D95"/>
    <w:rsid w:val="00CC1EAB"/>
    <w:rsid w:val="00CC317B"/>
    <w:rsid w:val="00CC3458"/>
    <w:rsid w:val="00CD08A2"/>
    <w:rsid w:val="00CD175C"/>
    <w:rsid w:val="00CD23F5"/>
    <w:rsid w:val="00CD3946"/>
    <w:rsid w:val="00CD4282"/>
    <w:rsid w:val="00CE0246"/>
    <w:rsid w:val="00CF7C23"/>
    <w:rsid w:val="00D0456A"/>
    <w:rsid w:val="00D05392"/>
    <w:rsid w:val="00D11186"/>
    <w:rsid w:val="00D12A40"/>
    <w:rsid w:val="00D20FEC"/>
    <w:rsid w:val="00D25FC8"/>
    <w:rsid w:val="00D2765D"/>
    <w:rsid w:val="00D3031F"/>
    <w:rsid w:val="00D32C10"/>
    <w:rsid w:val="00D34963"/>
    <w:rsid w:val="00D362AC"/>
    <w:rsid w:val="00D40C63"/>
    <w:rsid w:val="00D43127"/>
    <w:rsid w:val="00D50580"/>
    <w:rsid w:val="00D50E67"/>
    <w:rsid w:val="00D536E1"/>
    <w:rsid w:val="00D56C04"/>
    <w:rsid w:val="00D579EE"/>
    <w:rsid w:val="00D57C03"/>
    <w:rsid w:val="00D63061"/>
    <w:rsid w:val="00D639D9"/>
    <w:rsid w:val="00D655DA"/>
    <w:rsid w:val="00D7188B"/>
    <w:rsid w:val="00D7547B"/>
    <w:rsid w:val="00D765C5"/>
    <w:rsid w:val="00D8288E"/>
    <w:rsid w:val="00D85899"/>
    <w:rsid w:val="00D878DF"/>
    <w:rsid w:val="00D91D30"/>
    <w:rsid w:val="00D95267"/>
    <w:rsid w:val="00DA5085"/>
    <w:rsid w:val="00DB05CD"/>
    <w:rsid w:val="00DB19ED"/>
    <w:rsid w:val="00DB49F0"/>
    <w:rsid w:val="00DB745B"/>
    <w:rsid w:val="00DB79DC"/>
    <w:rsid w:val="00DC0A24"/>
    <w:rsid w:val="00DC29E8"/>
    <w:rsid w:val="00DD01A9"/>
    <w:rsid w:val="00DD0B11"/>
    <w:rsid w:val="00DD1318"/>
    <w:rsid w:val="00DD3F39"/>
    <w:rsid w:val="00DE24FB"/>
    <w:rsid w:val="00DE2996"/>
    <w:rsid w:val="00DE78AA"/>
    <w:rsid w:val="00DF291D"/>
    <w:rsid w:val="00DF2CBD"/>
    <w:rsid w:val="00DF5B43"/>
    <w:rsid w:val="00E00B6C"/>
    <w:rsid w:val="00E043D2"/>
    <w:rsid w:val="00E05024"/>
    <w:rsid w:val="00E05565"/>
    <w:rsid w:val="00E0638C"/>
    <w:rsid w:val="00E11226"/>
    <w:rsid w:val="00E172A1"/>
    <w:rsid w:val="00E21999"/>
    <w:rsid w:val="00E24878"/>
    <w:rsid w:val="00E30D22"/>
    <w:rsid w:val="00E31F45"/>
    <w:rsid w:val="00E3501A"/>
    <w:rsid w:val="00E359EA"/>
    <w:rsid w:val="00E35B7A"/>
    <w:rsid w:val="00E37621"/>
    <w:rsid w:val="00E42D79"/>
    <w:rsid w:val="00E47021"/>
    <w:rsid w:val="00E478F3"/>
    <w:rsid w:val="00E479B1"/>
    <w:rsid w:val="00E50FEC"/>
    <w:rsid w:val="00E52A68"/>
    <w:rsid w:val="00E5369E"/>
    <w:rsid w:val="00E54CDB"/>
    <w:rsid w:val="00E62684"/>
    <w:rsid w:val="00E6337E"/>
    <w:rsid w:val="00E650CE"/>
    <w:rsid w:val="00E656FB"/>
    <w:rsid w:val="00E65C6D"/>
    <w:rsid w:val="00E65D0D"/>
    <w:rsid w:val="00E6766C"/>
    <w:rsid w:val="00E709D3"/>
    <w:rsid w:val="00E74488"/>
    <w:rsid w:val="00E75E90"/>
    <w:rsid w:val="00E7607B"/>
    <w:rsid w:val="00E7710E"/>
    <w:rsid w:val="00E777DD"/>
    <w:rsid w:val="00E826BA"/>
    <w:rsid w:val="00E82B87"/>
    <w:rsid w:val="00E83BBC"/>
    <w:rsid w:val="00E84A27"/>
    <w:rsid w:val="00E84A29"/>
    <w:rsid w:val="00E92D15"/>
    <w:rsid w:val="00EA1698"/>
    <w:rsid w:val="00EA377C"/>
    <w:rsid w:val="00EA4191"/>
    <w:rsid w:val="00EB1395"/>
    <w:rsid w:val="00EB3178"/>
    <w:rsid w:val="00EB335C"/>
    <w:rsid w:val="00EB5EA6"/>
    <w:rsid w:val="00EB6D0B"/>
    <w:rsid w:val="00EC076B"/>
    <w:rsid w:val="00EC0D5D"/>
    <w:rsid w:val="00EC4759"/>
    <w:rsid w:val="00ED2102"/>
    <w:rsid w:val="00ED73F3"/>
    <w:rsid w:val="00EF574A"/>
    <w:rsid w:val="00EF7022"/>
    <w:rsid w:val="00F02268"/>
    <w:rsid w:val="00F02861"/>
    <w:rsid w:val="00F074C6"/>
    <w:rsid w:val="00F16D29"/>
    <w:rsid w:val="00F17DE7"/>
    <w:rsid w:val="00F233AC"/>
    <w:rsid w:val="00F23CA2"/>
    <w:rsid w:val="00F24295"/>
    <w:rsid w:val="00F24F1E"/>
    <w:rsid w:val="00F26E74"/>
    <w:rsid w:val="00F2723F"/>
    <w:rsid w:val="00F277C0"/>
    <w:rsid w:val="00F31691"/>
    <w:rsid w:val="00F405FA"/>
    <w:rsid w:val="00F46215"/>
    <w:rsid w:val="00F47C2F"/>
    <w:rsid w:val="00F517DC"/>
    <w:rsid w:val="00F51802"/>
    <w:rsid w:val="00F54F52"/>
    <w:rsid w:val="00F57BB8"/>
    <w:rsid w:val="00F61915"/>
    <w:rsid w:val="00F62FF4"/>
    <w:rsid w:val="00F737A3"/>
    <w:rsid w:val="00F8241C"/>
    <w:rsid w:val="00F83082"/>
    <w:rsid w:val="00F935CD"/>
    <w:rsid w:val="00FA22AF"/>
    <w:rsid w:val="00FA62DB"/>
    <w:rsid w:val="00FA7910"/>
    <w:rsid w:val="00FB3D8A"/>
    <w:rsid w:val="00FD0414"/>
    <w:rsid w:val="00FD134A"/>
    <w:rsid w:val="00FD3041"/>
    <w:rsid w:val="00FD42C5"/>
    <w:rsid w:val="00FD6A76"/>
    <w:rsid w:val="00FD747C"/>
    <w:rsid w:val="00FE0A2E"/>
    <w:rsid w:val="00FE0E6E"/>
    <w:rsid w:val="00FE0FF8"/>
    <w:rsid w:val="00FE2FA2"/>
    <w:rsid w:val="00FE448B"/>
    <w:rsid w:val="00FE46C8"/>
    <w:rsid w:val="00FE5B93"/>
    <w:rsid w:val="00FE700A"/>
    <w:rsid w:val="00FE78DE"/>
    <w:rsid w:val="00FE7976"/>
    <w:rsid w:val="00FF23D1"/>
    <w:rsid w:val="00FF2E5C"/>
    <w:rsid w:val="00FF3BF0"/>
    <w:rsid w:val="00FF577A"/>
    <w:rsid w:val="02661010"/>
    <w:rsid w:val="04EC39AB"/>
    <w:rsid w:val="053718C6"/>
    <w:rsid w:val="07B554D4"/>
    <w:rsid w:val="094B32CD"/>
    <w:rsid w:val="096C3A72"/>
    <w:rsid w:val="0A375F19"/>
    <w:rsid w:val="0AB6322D"/>
    <w:rsid w:val="0C670FBB"/>
    <w:rsid w:val="0E304822"/>
    <w:rsid w:val="128F2D41"/>
    <w:rsid w:val="15357675"/>
    <w:rsid w:val="1640163C"/>
    <w:rsid w:val="169D782C"/>
    <w:rsid w:val="17784383"/>
    <w:rsid w:val="191051C8"/>
    <w:rsid w:val="19AE61A3"/>
    <w:rsid w:val="1A9135FE"/>
    <w:rsid w:val="1AD5150D"/>
    <w:rsid w:val="2164183D"/>
    <w:rsid w:val="252B30D8"/>
    <w:rsid w:val="25DA5779"/>
    <w:rsid w:val="2B7E174D"/>
    <w:rsid w:val="2C563AE7"/>
    <w:rsid w:val="2C580157"/>
    <w:rsid w:val="2CB85287"/>
    <w:rsid w:val="2CD6104C"/>
    <w:rsid w:val="2D9E7E70"/>
    <w:rsid w:val="2ED63AB9"/>
    <w:rsid w:val="31533B3A"/>
    <w:rsid w:val="34B579FA"/>
    <w:rsid w:val="366A6BD2"/>
    <w:rsid w:val="36E37A24"/>
    <w:rsid w:val="39CC0747"/>
    <w:rsid w:val="3BD35983"/>
    <w:rsid w:val="3CBD3D16"/>
    <w:rsid w:val="3E473EF7"/>
    <w:rsid w:val="3F0C10F2"/>
    <w:rsid w:val="3F9B35F5"/>
    <w:rsid w:val="40011F72"/>
    <w:rsid w:val="40C36896"/>
    <w:rsid w:val="42C341BE"/>
    <w:rsid w:val="43BA19BE"/>
    <w:rsid w:val="46D92093"/>
    <w:rsid w:val="48105753"/>
    <w:rsid w:val="496B4C67"/>
    <w:rsid w:val="4BAD5FE3"/>
    <w:rsid w:val="4BF915BE"/>
    <w:rsid w:val="4DAD5A9E"/>
    <w:rsid w:val="4ED91BDF"/>
    <w:rsid w:val="50770DF1"/>
    <w:rsid w:val="511657CC"/>
    <w:rsid w:val="51201D5D"/>
    <w:rsid w:val="5150714B"/>
    <w:rsid w:val="516C40D4"/>
    <w:rsid w:val="51A409D7"/>
    <w:rsid w:val="535D2043"/>
    <w:rsid w:val="53D87963"/>
    <w:rsid w:val="54130A9D"/>
    <w:rsid w:val="541C7DFE"/>
    <w:rsid w:val="55AA34CA"/>
    <w:rsid w:val="5620766A"/>
    <w:rsid w:val="56EE0863"/>
    <w:rsid w:val="57FB1C71"/>
    <w:rsid w:val="57FE65C6"/>
    <w:rsid w:val="587D0513"/>
    <w:rsid w:val="59E3084A"/>
    <w:rsid w:val="5B8A5421"/>
    <w:rsid w:val="5BB6611F"/>
    <w:rsid w:val="5CD107CB"/>
    <w:rsid w:val="5D100846"/>
    <w:rsid w:val="5D3168F3"/>
    <w:rsid w:val="5D8743A2"/>
    <w:rsid w:val="6122434D"/>
    <w:rsid w:val="61A729EA"/>
    <w:rsid w:val="61E109EE"/>
    <w:rsid w:val="637B10C3"/>
    <w:rsid w:val="65AE61B0"/>
    <w:rsid w:val="661324B7"/>
    <w:rsid w:val="68557759"/>
    <w:rsid w:val="6AEA1E20"/>
    <w:rsid w:val="6CE6600E"/>
    <w:rsid w:val="6D772FAE"/>
    <w:rsid w:val="6DB12CE1"/>
    <w:rsid w:val="6E510CD8"/>
    <w:rsid w:val="6ECC30F8"/>
    <w:rsid w:val="70C92AFD"/>
    <w:rsid w:val="72E2393D"/>
    <w:rsid w:val="736B3932"/>
    <w:rsid w:val="736B5C61"/>
    <w:rsid w:val="74BB32C3"/>
    <w:rsid w:val="74EA41C9"/>
    <w:rsid w:val="75A32E5A"/>
    <w:rsid w:val="75B571E9"/>
    <w:rsid w:val="76FA74A7"/>
    <w:rsid w:val="76FE3AC6"/>
    <w:rsid w:val="77E960E4"/>
    <w:rsid w:val="79B522FE"/>
    <w:rsid w:val="79CB6ED9"/>
    <w:rsid w:val="7AF2308B"/>
    <w:rsid w:val="7F4162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ocked="1"/>
    <w:lsdException w:qFormat="1" w:unhideWhenUsed="0" w:uiPriority="99" w:name="toc 5" w:locked="1"/>
    <w:lsdException w:qFormat="1" w:unhideWhenUsed="0" w:uiPriority="99" w:name="toc 6" w:locked="1"/>
    <w:lsdException w:qFormat="1" w:unhideWhenUsed="0" w:uiPriority="99" w:name="toc 7" w:locked="1"/>
    <w:lsdException w:qFormat="1" w:unhideWhenUsed="0" w:uiPriority="99" w:name="toc 8" w:locked="1"/>
    <w:lsdException w:qFormat="1" w:unhideWhenUsed="0" w:uiPriority="99" w:name="toc 9" w:locked="1"/>
    <w:lsdException w:qFormat="1" w:unhideWhenUsed="0" w:uiPriority="99" w:semiHidden="0"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sz w:val="24"/>
      <w:szCs w:val="24"/>
      <w:lang w:val="en-US" w:eastAsia="en-US" w:bidi="ar-SA"/>
    </w:rPr>
  </w:style>
  <w:style w:type="paragraph" w:styleId="3">
    <w:name w:val="heading 1"/>
    <w:basedOn w:val="1"/>
    <w:next w:val="1"/>
    <w:link w:val="34"/>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5"/>
    <w:qFormat/>
    <w:uiPriority w:val="99"/>
    <w:pPr>
      <w:keepNext/>
      <w:keepLines/>
      <w:spacing w:before="260" w:after="260" w:line="413" w:lineRule="auto"/>
      <w:outlineLvl w:val="1"/>
    </w:pPr>
    <w:rPr>
      <w:rFonts w:ascii="Cambria" w:hAnsi="Cambria"/>
      <w:b/>
      <w:bCs/>
      <w:sz w:val="32"/>
      <w:szCs w:val="32"/>
    </w:rPr>
  </w:style>
  <w:style w:type="paragraph" w:styleId="5">
    <w:name w:val="heading 3"/>
    <w:basedOn w:val="1"/>
    <w:next w:val="1"/>
    <w:link w:val="36"/>
    <w:qFormat/>
    <w:uiPriority w:val="99"/>
    <w:pPr>
      <w:keepNext/>
      <w:keepLines/>
      <w:spacing w:before="260" w:after="260" w:line="413" w:lineRule="auto"/>
      <w:outlineLvl w:val="2"/>
    </w:pPr>
    <w:rPr>
      <w:b/>
      <w:bCs/>
      <w:sz w:val="32"/>
      <w:szCs w:val="32"/>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6">
    <w:name w:val="toc 7"/>
    <w:basedOn w:val="1"/>
    <w:next w:val="1"/>
    <w:semiHidden/>
    <w:qFormat/>
    <w:locked/>
    <w:uiPriority w:val="99"/>
    <w:pPr>
      <w:ind w:left="2520" w:leftChars="1200"/>
      <w:jc w:val="both"/>
    </w:pPr>
    <w:rPr>
      <w:rFonts w:ascii="Calibri" w:hAnsi="Calibri" w:cs="Calibri"/>
      <w:color w:val="auto"/>
      <w:kern w:val="2"/>
      <w:sz w:val="21"/>
      <w:szCs w:val="21"/>
      <w:lang w:eastAsia="zh-CN"/>
    </w:rPr>
  </w:style>
  <w:style w:type="paragraph" w:styleId="7">
    <w:name w:val="Normal Indent"/>
    <w:basedOn w:val="1"/>
    <w:qFormat/>
    <w:locked/>
    <w:uiPriority w:val="99"/>
    <w:pPr>
      <w:adjustRightInd w:val="0"/>
      <w:spacing w:line="360" w:lineRule="atLeast"/>
      <w:ind w:firstLine="420"/>
      <w:jc w:val="both"/>
      <w:textAlignment w:val="baseline"/>
    </w:pPr>
    <w:rPr>
      <w:rFonts w:ascii="Calibri" w:hAnsi="Calibri"/>
      <w:color w:val="auto"/>
      <w:kern w:val="2"/>
      <w:sz w:val="21"/>
      <w:szCs w:val="22"/>
      <w:lang w:eastAsia="zh-CN"/>
    </w:rPr>
  </w:style>
  <w:style w:type="paragraph" w:styleId="8">
    <w:name w:val="annotation text"/>
    <w:basedOn w:val="1"/>
    <w:link w:val="69"/>
    <w:qFormat/>
    <w:locked/>
    <w:uiPriority w:val="0"/>
    <w:rPr>
      <w:color w:val="auto"/>
      <w:kern w:val="2"/>
      <w:sz w:val="21"/>
      <w:lang w:eastAsia="zh-CN"/>
    </w:rPr>
  </w:style>
  <w:style w:type="paragraph" w:styleId="9">
    <w:name w:val="Body Text"/>
    <w:basedOn w:val="1"/>
    <w:next w:val="1"/>
    <w:link w:val="37"/>
    <w:semiHidden/>
    <w:qFormat/>
    <w:locked/>
    <w:uiPriority w:val="99"/>
    <w:pPr>
      <w:spacing w:after="120"/>
    </w:pPr>
  </w:style>
  <w:style w:type="paragraph" w:styleId="10">
    <w:name w:val="Body Text Indent"/>
    <w:basedOn w:val="1"/>
    <w:link w:val="38"/>
    <w:qFormat/>
    <w:locked/>
    <w:uiPriority w:val="99"/>
    <w:pPr>
      <w:spacing w:line="360" w:lineRule="auto"/>
      <w:ind w:firstLine="540" w:firstLineChars="225"/>
      <w:jc w:val="both"/>
    </w:pPr>
    <w:rPr>
      <w:color w:val="auto"/>
      <w:kern w:val="2"/>
      <w:lang w:eastAsia="zh-CN"/>
    </w:rPr>
  </w:style>
  <w:style w:type="paragraph" w:styleId="11">
    <w:name w:val="toc 5"/>
    <w:basedOn w:val="1"/>
    <w:next w:val="1"/>
    <w:semiHidden/>
    <w:qFormat/>
    <w:locked/>
    <w:uiPriority w:val="99"/>
    <w:pPr>
      <w:ind w:left="1680" w:leftChars="800"/>
      <w:jc w:val="both"/>
    </w:pPr>
    <w:rPr>
      <w:rFonts w:ascii="Calibri" w:hAnsi="Calibri" w:cs="Calibri"/>
      <w:color w:val="auto"/>
      <w:kern w:val="2"/>
      <w:sz w:val="21"/>
      <w:szCs w:val="21"/>
      <w:lang w:eastAsia="zh-CN"/>
    </w:rPr>
  </w:style>
  <w:style w:type="paragraph" w:styleId="12">
    <w:name w:val="toc 3"/>
    <w:basedOn w:val="1"/>
    <w:next w:val="1"/>
    <w:semiHidden/>
    <w:qFormat/>
    <w:uiPriority w:val="99"/>
    <w:pPr>
      <w:ind w:left="840" w:leftChars="400"/>
    </w:pPr>
  </w:style>
  <w:style w:type="paragraph" w:styleId="13">
    <w:name w:val="Plain Text"/>
    <w:basedOn w:val="1"/>
    <w:link w:val="59"/>
    <w:qFormat/>
    <w:uiPriority w:val="99"/>
    <w:pPr>
      <w:tabs>
        <w:tab w:val="left" w:pos="420"/>
      </w:tabs>
      <w:ind w:left="420" w:hanging="420"/>
      <w:jc w:val="both"/>
    </w:pPr>
    <w:rPr>
      <w:rFonts w:ascii="宋体" w:hAnsi="Courier New"/>
      <w:sz w:val="21"/>
      <w:szCs w:val="21"/>
    </w:rPr>
  </w:style>
  <w:style w:type="paragraph" w:styleId="14">
    <w:name w:val="toc 8"/>
    <w:basedOn w:val="1"/>
    <w:next w:val="1"/>
    <w:semiHidden/>
    <w:qFormat/>
    <w:locked/>
    <w:uiPriority w:val="99"/>
    <w:pPr>
      <w:ind w:left="2940" w:leftChars="1400"/>
      <w:jc w:val="both"/>
    </w:pPr>
    <w:rPr>
      <w:rFonts w:ascii="Calibri" w:hAnsi="Calibri" w:cs="Calibri"/>
      <w:color w:val="auto"/>
      <w:kern w:val="2"/>
      <w:sz w:val="21"/>
      <w:szCs w:val="21"/>
      <w:lang w:eastAsia="zh-CN"/>
    </w:rPr>
  </w:style>
  <w:style w:type="paragraph" w:styleId="15">
    <w:name w:val="Date"/>
    <w:basedOn w:val="1"/>
    <w:next w:val="1"/>
    <w:link w:val="40"/>
    <w:qFormat/>
    <w:locked/>
    <w:uiPriority w:val="99"/>
    <w:pPr>
      <w:ind w:left="100" w:leftChars="2500"/>
      <w:jc w:val="both"/>
    </w:pPr>
    <w:rPr>
      <w:color w:val="auto"/>
      <w:kern w:val="2"/>
      <w:sz w:val="21"/>
      <w:szCs w:val="20"/>
      <w:lang w:eastAsia="zh-CN"/>
    </w:rPr>
  </w:style>
  <w:style w:type="paragraph" w:styleId="16">
    <w:name w:val="Balloon Text"/>
    <w:basedOn w:val="1"/>
    <w:link w:val="41"/>
    <w:qFormat/>
    <w:uiPriority w:val="99"/>
    <w:rPr>
      <w:sz w:val="18"/>
      <w:szCs w:val="18"/>
    </w:rPr>
  </w:style>
  <w:style w:type="paragraph" w:styleId="17">
    <w:name w:val="footer"/>
    <w:basedOn w:val="1"/>
    <w:next w:val="9"/>
    <w:link w:val="42"/>
    <w:qFormat/>
    <w:uiPriority w:val="99"/>
    <w:pPr>
      <w:tabs>
        <w:tab w:val="center" w:pos="4153"/>
        <w:tab w:val="right" w:pos="8306"/>
      </w:tabs>
      <w:snapToGrid w:val="0"/>
    </w:pPr>
  </w:style>
  <w:style w:type="paragraph" w:styleId="18">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style>
  <w:style w:type="paragraph" w:styleId="19">
    <w:name w:val="toc 1"/>
    <w:basedOn w:val="1"/>
    <w:next w:val="1"/>
    <w:semiHidden/>
    <w:qFormat/>
    <w:uiPriority w:val="99"/>
  </w:style>
  <w:style w:type="paragraph" w:styleId="20">
    <w:name w:val="toc 4"/>
    <w:basedOn w:val="1"/>
    <w:next w:val="1"/>
    <w:semiHidden/>
    <w:qFormat/>
    <w:locked/>
    <w:uiPriority w:val="99"/>
    <w:pPr>
      <w:ind w:left="1260" w:leftChars="600"/>
      <w:jc w:val="both"/>
    </w:pPr>
    <w:rPr>
      <w:rFonts w:ascii="Calibri" w:hAnsi="Calibri" w:cs="Calibri"/>
      <w:color w:val="auto"/>
      <w:kern w:val="2"/>
      <w:sz w:val="21"/>
      <w:szCs w:val="21"/>
      <w:lang w:eastAsia="zh-CN"/>
    </w:rPr>
  </w:style>
  <w:style w:type="paragraph" w:styleId="21">
    <w:name w:val="toc 6"/>
    <w:basedOn w:val="1"/>
    <w:next w:val="1"/>
    <w:semiHidden/>
    <w:qFormat/>
    <w:locked/>
    <w:uiPriority w:val="99"/>
    <w:pPr>
      <w:ind w:left="2100" w:leftChars="1000"/>
      <w:jc w:val="both"/>
    </w:pPr>
    <w:rPr>
      <w:rFonts w:ascii="Calibri" w:hAnsi="Calibri" w:cs="Calibri"/>
      <w:color w:val="auto"/>
      <w:kern w:val="2"/>
      <w:sz w:val="21"/>
      <w:szCs w:val="21"/>
      <w:lang w:eastAsia="zh-CN"/>
    </w:rPr>
  </w:style>
  <w:style w:type="paragraph" w:styleId="22">
    <w:name w:val="toc 2"/>
    <w:basedOn w:val="1"/>
    <w:next w:val="1"/>
    <w:semiHidden/>
    <w:qFormat/>
    <w:uiPriority w:val="99"/>
    <w:pPr>
      <w:ind w:left="420" w:leftChars="200"/>
    </w:pPr>
  </w:style>
  <w:style w:type="paragraph" w:styleId="23">
    <w:name w:val="toc 9"/>
    <w:basedOn w:val="1"/>
    <w:next w:val="1"/>
    <w:semiHidden/>
    <w:qFormat/>
    <w:locked/>
    <w:uiPriority w:val="99"/>
    <w:pPr>
      <w:ind w:left="3360" w:leftChars="1600"/>
      <w:jc w:val="both"/>
    </w:pPr>
    <w:rPr>
      <w:rFonts w:ascii="Calibri" w:hAnsi="Calibri" w:cs="Calibri"/>
      <w:color w:val="auto"/>
      <w:kern w:val="2"/>
      <w:sz w:val="21"/>
      <w:szCs w:val="21"/>
      <w:lang w:eastAsia="zh-CN"/>
    </w:rPr>
  </w:style>
  <w:style w:type="paragraph" w:styleId="24">
    <w:name w:val="Normal (Web)"/>
    <w:basedOn w:val="1"/>
    <w:qFormat/>
    <w:uiPriority w:val="99"/>
    <w:pPr>
      <w:widowControl/>
      <w:spacing w:before="100" w:beforeAutospacing="1" w:after="100" w:afterAutospacing="1"/>
    </w:pPr>
    <w:rPr>
      <w:rFonts w:ascii="宋体" w:hAnsi="宋体" w:cs="宋体"/>
      <w:color w:val="auto"/>
      <w:lang w:eastAsia="zh-CN"/>
    </w:rPr>
  </w:style>
  <w:style w:type="paragraph" w:styleId="25">
    <w:name w:val="Body Text First Indent 2"/>
    <w:basedOn w:val="10"/>
    <w:qFormat/>
    <w:locked/>
    <w:uiPriority w:val="0"/>
    <w:pPr>
      <w:ind w:firstLine="420" w:firstLineChars="200"/>
    </w:pPr>
  </w:style>
  <w:style w:type="table" w:styleId="27">
    <w:name w:val="Table Grid"/>
    <w:basedOn w:val="2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locked/>
    <w:uiPriority w:val="22"/>
    <w:rPr>
      <w:b/>
      <w:bCs/>
    </w:rPr>
  </w:style>
  <w:style w:type="character" w:styleId="30">
    <w:name w:val="page number"/>
    <w:qFormat/>
    <w:uiPriority w:val="99"/>
    <w:rPr>
      <w:rFonts w:cs="Times New Roman"/>
    </w:rPr>
  </w:style>
  <w:style w:type="character" w:styleId="31">
    <w:name w:val="Emphasis"/>
    <w:basedOn w:val="28"/>
    <w:qFormat/>
    <w:locked/>
    <w:uiPriority w:val="99"/>
    <w:rPr>
      <w:i/>
      <w:iCs/>
    </w:rPr>
  </w:style>
  <w:style w:type="character" w:styleId="32">
    <w:name w:val="Hyperlink"/>
    <w:qFormat/>
    <w:uiPriority w:val="99"/>
    <w:rPr>
      <w:rFonts w:cs="Times New Roman"/>
      <w:color w:val="0000FF"/>
      <w:u w:val="single"/>
    </w:rPr>
  </w:style>
  <w:style w:type="paragraph" w:customStyle="1" w:styleId="33">
    <w:name w:val="四级标题"/>
    <w:basedOn w:val="15"/>
    <w:qFormat/>
    <w:uiPriority w:val="0"/>
    <w:rPr>
      <w:rFonts w:eastAsia="黑体"/>
      <w:szCs w:val="22"/>
    </w:rPr>
  </w:style>
  <w:style w:type="character" w:customStyle="1" w:styleId="34">
    <w:name w:val="标题 1 Char"/>
    <w:link w:val="3"/>
    <w:qFormat/>
    <w:locked/>
    <w:uiPriority w:val="0"/>
    <w:rPr>
      <w:rFonts w:ascii="Times New Roman" w:hAnsi="Times New Roman"/>
      <w:b/>
      <w:color w:val="000000"/>
      <w:kern w:val="44"/>
      <w:sz w:val="44"/>
      <w:lang w:eastAsia="en-US"/>
    </w:rPr>
  </w:style>
  <w:style w:type="character" w:customStyle="1" w:styleId="35">
    <w:name w:val="标题 2 Char"/>
    <w:link w:val="4"/>
    <w:semiHidden/>
    <w:qFormat/>
    <w:locked/>
    <w:uiPriority w:val="99"/>
    <w:rPr>
      <w:rFonts w:ascii="Cambria" w:hAnsi="Cambria" w:eastAsia="宋体"/>
      <w:b/>
      <w:color w:val="000000"/>
      <w:kern w:val="0"/>
      <w:sz w:val="32"/>
      <w:lang w:eastAsia="en-US"/>
    </w:rPr>
  </w:style>
  <w:style w:type="character" w:customStyle="1" w:styleId="36">
    <w:name w:val="标题 3 Char"/>
    <w:link w:val="5"/>
    <w:semiHidden/>
    <w:qFormat/>
    <w:locked/>
    <w:uiPriority w:val="99"/>
    <w:rPr>
      <w:rFonts w:ascii="Times New Roman" w:hAnsi="Times New Roman"/>
      <w:b/>
      <w:color w:val="000000"/>
      <w:kern w:val="0"/>
      <w:sz w:val="32"/>
      <w:lang w:eastAsia="en-US"/>
    </w:rPr>
  </w:style>
  <w:style w:type="character" w:customStyle="1" w:styleId="37">
    <w:name w:val="正文文本 Char"/>
    <w:link w:val="9"/>
    <w:semiHidden/>
    <w:qFormat/>
    <w:locked/>
    <w:uiPriority w:val="99"/>
    <w:rPr>
      <w:rFonts w:ascii="Times New Roman" w:hAnsi="Times New Roman" w:cs="Times New Roman"/>
      <w:color w:val="000000"/>
      <w:sz w:val="24"/>
      <w:szCs w:val="24"/>
      <w:lang w:eastAsia="en-US"/>
    </w:rPr>
  </w:style>
  <w:style w:type="character" w:customStyle="1" w:styleId="38">
    <w:name w:val="正文文本缩进 Char"/>
    <w:link w:val="10"/>
    <w:qFormat/>
    <w:locked/>
    <w:uiPriority w:val="99"/>
    <w:rPr>
      <w:rFonts w:ascii="Times New Roman" w:hAnsi="Times New Roman"/>
      <w:kern w:val="2"/>
      <w:sz w:val="24"/>
    </w:rPr>
  </w:style>
  <w:style w:type="character" w:customStyle="1" w:styleId="39">
    <w:name w:val="Plain Text Char"/>
    <w:qFormat/>
    <w:locked/>
    <w:uiPriority w:val="99"/>
    <w:rPr>
      <w:rFonts w:ascii="宋体" w:hAnsi="Courier New"/>
      <w:sz w:val="21"/>
    </w:rPr>
  </w:style>
  <w:style w:type="character" w:customStyle="1" w:styleId="40">
    <w:name w:val="日期 Char"/>
    <w:link w:val="15"/>
    <w:qFormat/>
    <w:locked/>
    <w:uiPriority w:val="99"/>
    <w:rPr>
      <w:rFonts w:ascii="Times New Roman" w:hAnsi="Times New Roman"/>
      <w:kern w:val="2"/>
      <w:sz w:val="21"/>
    </w:rPr>
  </w:style>
  <w:style w:type="character" w:customStyle="1" w:styleId="41">
    <w:name w:val="批注框文本 Char"/>
    <w:link w:val="16"/>
    <w:qFormat/>
    <w:locked/>
    <w:uiPriority w:val="99"/>
    <w:rPr>
      <w:rFonts w:ascii="Times New Roman" w:hAnsi="Times New Roman"/>
      <w:color w:val="000000"/>
      <w:sz w:val="18"/>
      <w:lang w:eastAsia="en-US"/>
    </w:rPr>
  </w:style>
  <w:style w:type="character" w:customStyle="1" w:styleId="42">
    <w:name w:val="页脚 Char"/>
    <w:link w:val="17"/>
    <w:qFormat/>
    <w:locked/>
    <w:uiPriority w:val="99"/>
    <w:rPr>
      <w:rFonts w:ascii="Times New Roman" w:hAnsi="Times New Roman"/>
      <w:color w:val="000000"/>
      <w:sz w:val="24"/>
      <w:lang w:eastAsia="en-US"/>
    </w:rPr>
  </w:style>
  <w:style w:type="character" w:customStyle="1" w:styleId="43">
    <w:name w:val="页眉 Char"/>
    <w:link w:val="18"/>
    <w:qFormat/>
    <w:locked/>
    <w:uiPriority w:val="99"/>
    <w:rPr>
      <w:rFonts w:ascii="Times New Roman" w:hAnsi="Times New Roman"/>
      <w:color w:val="000000"/>
      <w:sz w:val="24"/>
      <w:lang w:eastAsia="en-US"/>
    </w:rPr>
  </w:style>
  <w:style w:type="paragraph" w:customStyle="1" w:styleId="44">
    <w:name w:val="Body text|6"/>
    <w:basedOn w:val="1"/>
    <w:qFormat/>
    <w:uiPriority w:val="99"/>
    <w:pPr>
      <w:jc w:val="center"/>
    </w:pPr>
    <w:rPr>
      <w:rFonts w:ascii="宋体" w:hAnsi="宋体" w:cs="宋体"/>
      <w:sz w:val="58"/>
      <w:szCs w:val="58"/>
      <w:lang w:val="zh-TW" w:eastAsia="zh-TW"/>
    </w:rPr>
  </w:style>
  <w:style w:type="paragraph" w:customStyle="1" w:styleId="45">
    <w:name w:val="Body text|3"/>
    <w:basedOn w:val="1"/>
    <w:qFormat/>
    <w:uiPriority w:val="99"/>
    <w:pPr>
      <w:spacing w:line="590" w:lineRule="exact"/>
    </w:pPr>
    <w:rPr>
      <w:rFonts w:ascii="宋体" w:hAnsi="宋体" w:cs="宋体"/>
      <w:sz w:val="26"/>
      <w:szCs w:val="26"/>
      <w:lang w:val="zh-TW" w:eastAsia="zh-TW"/>
    </w:rPr>
  </w:style>
  <w:style w:type="paragraph" w:customStyle="1" w:styleId="46">
    <w:name w:val="Body text|1"/>
    <w:basedOn w:val="1"/>
    <w:qFormat/>
    <w:uiPriority w:val="99"/>
    <w:pPr>
      <w:spacing w:line="420" w:lineRule="auto"/>
      <w:ind w:firstLine="400"/>
    </w:pPr>
    <w:rPr>
      <w:rFonts w:ascii="宋体" w:hAnsi="宋体" w:cs="宋体"/>
      <w:sz w:val="22"/>
      <w:szCs w:val="22"/>
      <w:lang w:val="zh-TW" w:eastAsia="zh-TW"/>
    </w:rPr>
  </w:style>
  <w:style w:type="paragraph" w:customStyle="1" w:styleId="47">
    <w:name w:val="Body text|4"/>
    <w:basedOn w:val="1"/>
    <w:qFormat/>
    <w:uiPriority w:val="99"/>
    <w:pPr>
      <w:spacing w:after="220" w:line="230" w:lineRule="auto"/>
      <w:ind w:left="600" w:firstLine="420"/>
    </w:pPr>
    <w:rPr>
      <w:sz w:val="20"/>
      <w:szCs w:val="20"/>
    </w:rPr>
  </w:style>
  <w:style w:type="paragraph" w:customStyle="1" w:styleId="48">
    <w:name w:val="Body text|2"/>
    <w:basedOn w:val="1"/>
    <w:qFormat/>
    <w:uiPriority w:val="99"/>
    <w:pPr>
      <w:spacing w:after="130" w:line="294" w:lineRule="exact"/>
      <w:ind w:firstLine="600"/>
    </w:pPr>
    <w:rPr>
      <w:rFonts w:ascii="宋体" w:hAnsi="宋体" w:cs="宋体"/>
      <w:sz w:val="16"/>
      <w:szCs w:val="16"/>
      <w:lang w:val="zh-TW" w:eastAsia="zh-TW"/>
    </w:rPr>
  </w:style>
  <w:style w:type="paragraph" w:customStyle="1" w:styleId="49">
    <w:name w:val="Table caption|1"/>
    <w:basedOn w:val="1"/>
    <w:qFormat/>
    <w:uiPriority w:val="99"/>
    <w:pPr>
      <w:jc w:val="center"/>
    </w:pPr>
    <w:rPr>
      <w:rFonts w:ascii="宋体" w:hAnsi="宋体" w:cs="宋体"/>
      <w:sz w:val="20"/>
      <w:szCs w:val="20"/>
      <w:lang w:val="zh-TW" w:eastAsia="zh-TW"/>
    </w:rPr>
  </w:style>
  <w:style w:type="paragraph" w:customStyle="1" w:styleId="50">
    <w:name w:val="Other|1"/>
    <w:basedOn w:val="1"/>
    <w:qFormat/>
    <w:uiPriority w:val="99"/>
    <w:pPr>
      <w:spacing w:line="420" w:lineRule="auto"/>
      <w:ind w:firstLine="400"/>
    </w:pPr>
    <w:rPr>
      <w:rFonts w:ascii="宋体" w:hAnsi="宋体" w:cs="宋体"/>
      <w:sz w:val="22"/>
      <w:szCs w:val="22"/>
      <w:lang w:val="zh-TW" w:eastAsia="zh-TW"/>
    </w:rPr>
  </w:style>
  <w:style w:type="paragraph" w:customStyle="1" w:styleId="51">
    <w:name w:val="Header or footer|1"/>
    <w:basedOn w:val="1"/>
    <w:qFormat/>
    <w:uiPriority w:val="99"/>
    <w:rPr>
      <w:rFonts w:ascii="宋体" w:hAnsi="宋体" w:cs="宋体"/>
      <w:lang w:val="zh-TW" w:eastAsia="zh-TW"/>
    </w:rPr>
  </w:style>
  <w:style w:type="paragraph" w:customStyle="1" w:styleId="52">
    <w:name w:val="WPSOffice手动目录 1"/>
    <w:qFormat/>
    <w:uiPriority w:val="99"/>
    <w:rPr>
      <w:rFonts w:ascii="Calibri" w:hAnsi="Calibri" w:eastAsia="宋体" w:cs="Calibri"/>
      <w:lang w:val="en-US" w:eastAsia="zh-CN" w:bidi="ar-SA"/>
    </w:rPr>
  </w:style>
  <w:style w:type="paragraph" w:customStyle="1" w:styleId="53">
    <w:name w:val="WPSOffice手动目录 2"/>
    <w:qFormat/>
    <w:uiPriority w:val="99"/>
    <w:pPr>
      <w:ind w:left="200" w:leftChars="200"/>
    </w:pPr>
    <w:rPr>
      <w:rFonts w:ascii="Calibri" w:hAnsi="Calibri" w:eastAsia="宋体" w:cs="Calibri"/>
      <w:lang w:val="en-US" w:eastAsia="zh-CN" w:bidi="ar-SA"/>
    </w:rPr>
  </w:style>
  <w:style w:type="paragraph" w:customStyle="1" w:styleId="54">
    <w:name w:val="WPSOffice手动目录 3"/>
    <w:qFormat/>
    <w:uiPriority w:val="99"/>
    <w:pPr>
      <w:ind w:left="400" w:leftChars="400"/>
    </w:pPr>
    <w:rPr>
      <w:rFonts w:ascii="Calibri" w:hAnsi="Calibri" w:eastAsia="宋体" w:cs="Calibri"/>
      <w:lang w:val="en-US" w:eastAsia="zh-CN" w:bidi="ar-SA"/>
    </w:rPr>
  </w:style>
  <w:style w:type="paragraph" w:styleId="55">
    <w:name w:val="No Spacing"/>
    <w:link w:val="56"/>
    <w:qFormat/>
    <w:uiPriority w:val="99"/>
    <w:rPr>
      <w:rFonts w:ascii="Calibri" w:hAnsi="Calibri" w:eastAsia="宋体" w:cs="Times New Roman"/>
      <w:sz w:val="22"/>
      <w:lang w:val="en-US" w:eastAsia="zh-CN" w:bidi="ar-SA"/>
    </w:rPr>
  </w:style>
  <w:style w:type="character" w:customStyle="1" w:styleId="56">
    <w:name w:val="无间隔 Char"/>
    <w:link w:val="55"/>
    <w:qFormat/>
    <w:locked/>
    <w:uiPriority w:val="99"/>
    <w:rPr>
      <w:sz w:val="22"/>
      <w:lang w:val="en-US" w:eastAsia="zh-CN"/>
    </w:rPr>
  </w:style>
  <w:style w:type="paragraph" w:customStyle="1" w:styleId="57">
    <w:name w:val="Char Char Char1 Char Char Char1 Char Char Char Char Char Char1 Char Char Char1 Char"/>
    <w:basedOn w:val="1"/>
    <w:qFormat/>
    <w:uiPriority w:val="99"/>
    <w:pPr>
      <w:jc w:val="both"/>
    </w:pPr>
    <w:rPr>
      <w:rFonts w:eastAsia="仿宋_GB2312"/>
      <w:color w:val="auto"/>
      <w:kern w:val="2"/>
      <w:sz w:val="30"/>
      <w:szCs w:val="30"/>
      <w:lang w:eastAsia="zh-CN"/>
    </w:rPr>
  </w:style>
  <w:style w:type="paragraph" w:styleId="58">
    <w:name w:val="List Paragraph"/>
    <w:basedOn w:val="1"/>
    <w:qFormat/>
    <w:uiPriority w:val="34"/>
    <w:pPr>
      <w:ind w:firstLine="420" w:firstLineChars="200"/>
    </w:pPr>
  </w:style>
  <w:style w:type="character" w:customStyle="1" w:styleId="59">
    <w:name w:val="纯文本 Char"/>
    <w:link w:val="13"/>
    <w:qFormat/>
    <w:locked/>
    <w:uiPriority w:val="99"/>
    <w:rPr>
      <w:rFonts w:ascii="宋体" w:hAnsi="Courier New"/>
      <w:color w:val="000000"/>
      <w:kern w:val="0"/>
      <w:sz w:val="21"/>
      <w:lang w:eastAsia="en-US"/>
    </w:rPr>
  </w:style>
  <w:style w:type="character" w:customStyle="1" w:styleId="60">
    <w:name w:val="纯文本 Char1"/>
    <w:semiHidden/>
    <w:qFormat/>
    <w:uiPriority w:val="99"/>
    <w:rPr>
      <w:rFonts w:ascii="宋体" w:hAnsi="Courier New"/>
      <w:color w:val="000000"/>
      <w:sz w:val="21"/>
      <w:lang w:eastAsia="en-US"/>
    </w:rPr>
  </w:style>
  <w:style w:type="paragraph" w:customStyle="1" w:styleId="61">
    <w:name w:val="正文格式"/>
    <w:qFormat/>
    <w:uiPriority w:val="99"/>
    <w:pPr>
      <w:spacing w:line="360" w:lineRule="auto"/>
      <w:ind w:firstLine="200" w:firstLineChars="200"/>
    </w:pPr>
    <w:rPr>
      <w:rFonts w:ascii="Times New Roman" w:hAnsi="Times New Roman" w:eastAsia="仿宋" w:cs="Times New Roman"/>
      <w:kern w:val="2"/>
      <w:sz w:val="28"/>
      <w:szCs w:val="28"/>
      <w:lang w:val="en-US" w:eastAsia="zh-CN" w:bidi="ar-SA"/>
    </w:rPr>
  </w:style>
  <w:style w:type="paragraph" w:customStyle="1" w:styleId="62">
    <w:name w:val="B表格正文"/>
    <w:next w:val="1"/>
    <w:qFormat/>
    <w:uiPriority w:val="99"/>
    <w:rPr>
      <w:rFonts w:ascii="Times New Roman" w:hAnsi="Times New Roman" w:eastAsia="黑体" w:cs="Times New Roman"/>
      <w:kern w:val="2"/>
      <w:sz w:val="21"/>
      <w:szCs w:val="21"/>
      <w:lang w:val="en-US" w:eastAsia="zh-CN" w:bidi="ar-SA"/>
    </w:rPr>
  </w:style>
  <w:style w:type="paragraph" w:customStyle="1" w:styleId="63">
    <w:name w:val="全文"/>
    <w:qFormat/>
    <w:uiPriority w:val="99"/>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64">
    <w:name w:val="样式 首行缩进:  2 字符"/>
    <w:basedOn w:val="1"/>
    <w:qFormat/>
    <w:uiPriority w:val="99"/>
    <w:pPr>
      <w:spacing w:line="400" w:lineRule="exact"/>
      <w:ind w:firstLine="200" w:firstLineChars="200"/>
      <w:jc w:val="both"/>
    </w:pPr>
    <w:rPr>
      <w:rFonts w:ascii="宋体" w:hAnsi="Calibri" w:cs="宋体"/>
      <w:color w:val="auto"/>
      <w:lang w:eastAsia="zh-CN"/>
    </w:rPr>
  </w:style>
  <w:style w:type="paragraph" w:customStyle="1" w:styleId="65">
    <w:name w:val="章 样式 四号 加粗 居中"/>
    <w:basedOn w:val="1"/>
    <w:qFormat/>
    <w:uiPriority w:val="99"/>
    <w:pPr>
      <w:spacing w:beforeLines="100" w:afterLines="100"/>
      <w:jc w:val="center"/>
    </w:pPr>
    <w:rPr>
      <w:rFonts w:cs="宋体"/>
      <w:b/>
      <w:bCs/>
      <w:color w:val="auto"/>
      <w:kern w:val="2"/>
      <w:sz w:val="28"/>
      <w:szCs w:val="20"/>
      <w:lang w:eastAsia="zh-CN"/>
    </w:rPr>
  </w:style>
  <w:style w:type="character" w:customStyle="1" w:styleId="66">
    <w:name w:val="NormalCharacter"/>
    <w:link w:val="67"/>
    <w:semiHidden/>
    <w:qFormat/>
    <w:uiPriority w:val="99"/>
  </w:style>
  <w:style w:type="paragraph" w:customStyle="1" w:styleId="67">
    <w:name w:val="UserStyle_3"/>
    <w:basedOn w:val="1"/>
    <w:link w:val="66"/>
    <w:qFormat/>
    <w:uiPriority w:val="0"/>
  </w:style>
  <w:style w:type="paragraph" w:customStyle="1" w:styleId="68">
    <w:name w:val="Table Paragraph"/>
    <w:basedOn w:val="1"/>
    <w:qFormat/>
    <w:uiPriority w:val="1"/>
    <w:rPr>
      <w:rFonts w:asciiTheme="minorHAnsi" w:hAnsiTheme="minorHAnsi" w:eastAsiaTheme="minorHAnsi" w:cstheme="minorBidi"/>
      <w:color w:val="auto"/>
      <w:sz w:val="22"/>
      <w:szCs w:val="22"/>
    </w:rPr>
  </w:style>
  <w:style w:type="character" w:customStyle="1" w:styleId="69">
    <w:name w:val="批注文字 Char"/>
    <w:basedOn w:val="28"/>
    <w:link w:val="8"/>
    <w:qFormat/>
    <w:uiPriority w:val="0"/>
    <w:rPr>
      <w:rFonts w:ascii="Times New Roman" w:hAnsi="Times New Roman"/>
      <w:kern w:val="2"/>
      <w:sz w:val="21"/>
      <w:szCs w:val="24"/>
    </w:rPr>
  </w:style>
  <w:style w:type="paragraph" w:customStyle="1" w:styleId="70">
    <w:name w:val="style6"/>
    <w:basedOn w:val="1"/>
    <w:qFormat/>
    <w:uiPriority w:val="0"/>
    <w:pPr>
      <w:widowControl/>
      <w:spacing w:before="100" w:beforeAutospacing="1" w:after="100" w:afterAutospacing="1"/>
    </w:pPr>
    <w:rPr>
      <w:rFonts w:ascii="宋体" w:hAnsi="宋体" w:cs="宋体"/>
      <w:color w:val="auto"/>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45</Pages>
  <Words>17883</Words>
  <Characters>19000</Characters>
  <Lines>149</Lines>
  <Paragraphs>41</Paragraphs>
  <TotalTime>86</TotalTime>
  <ScaleCrop>false</ScaleCrop>
  <LinksUpToDate>false</LinksUpToDate>
  <CharactersWithSpaces>19323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2022-02-14T02:21:00Z</dcterms:created>
  <dc:creator>月光灬Dream</dc:creator>
  <cp:lastModifiedBy>郝瑞凯</cp:lastModifiedBy>
  <dcterms:modified xsi:type="dcterms:W3CDTF">2023-05-22T00:56:51Z</dcterms:modified>
  <dc:title>山西新元煤炭有限责任公司</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3F7CE6DE2E3F4F0881335740AFE873CC</vt:lpwstr>
  </property>
</Properties>
</file>